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InSAR数据采购、解译处理、原型平台开发的采购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7</w:t>
      </w:r>
      <w:r>
        <w:rPr>
          <w:rFonts w:hint="eastAsia" w:ascii="宋体" w:hAnsi="宋体" w:cs="宋体"/>
          <w:b/>
          <w:color w:val="auto"/>
          <w:sz w:val="28"/>
          <w:szCs w:val="28"/>
          <w:highlight w:val="none"/>
        </w:rPr>
        <w:t>月</w:t>
      </w:r>
    </w:p>
    <w:p w14:paraId="5D5D8924">
      <w:pPr>
        <w:pStyle w:val="29"/>
        <w:jc w:val="center"/>
        <w:rPr>
          <w:rFonts w:hint="eastAsia" w:ascii="宋体" w:hAnsi="宋体" w:cs="宋体"/>
          <w:color w:val="auto"/>
          <w:szCs w:val="21"/>
          <w:highlight w:val="none"/>
        </w:rPr>
      </w:pPr>
      <w:r>
        <w:rPr>
          <w:color w:val="auto"/>
          <w:highlight w:val="none"/>
        </w:rPr>
        <w:br w:type="page"/>
      </w:r>
      <w:bookmarkStart w:id="1" w:name="_Toc247085669"/>
      <w:bookmarkStart w:id="2" w:name="_Toc296602400"/>
      <w:bookmarkStart w:id="3" w:name="_Toc246996898"/>
      <w:bookmarkStart w:id="4" w:name="_Toc507428442"/>
      <w:bookmarkStart w:id="5" w:name="_Toc507319889"/>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9"/>
        <w:jc w:val="center"/>
        <w:rPr>
          <w:rFonts w:hint="eastAsia" w:ascii="宋体" w:hAnsi="宋体" w:cs="宋体"/>
          <w:color w:val="auto"/>
          <w:szCs w:val="21"/>
          <w:highlight w:val="none"/>
        </w:rPr>
      </w:pPr>
    </w:p>
    <w:p w14:paraId="38C09DEE">
      <w:pPr>
        <w:pStyle w:val="29"/>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_Toc7416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_Toc7416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69D36B">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_Toc19817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12BF3A1">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_Toc30536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_Toc30536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C9F2EE1">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_Toc15492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_Toc15492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C37FB8E">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_Toc1783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4E9299CE">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_Toc28958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_Toc28958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50DD3501">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_Toc20055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_Toc20055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0DF49649">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_Toc15120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_Toc15120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A74DDC">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_Toc8556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_Toc8556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2981E2ED">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_Toc31663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_Toc31663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6FFB1218">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_Toc19471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_Toc19471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112E3EF6">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_Toc26599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49F8D5A8">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_Toc11814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_Toc11814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1250EB4C">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_Toc3077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76EFD41A">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_Toc9925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4B51F10A">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_Toc9951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_Toc9951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539EB241">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_Toc11571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_Toc11571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val="0"/>
          <w:caps w:val="0"/>
          <w:color w:val="auto"/>
          <w:highlight w:val="none"/>
        </w:rPr>
        <w:fldChar w:fldCharType="end"/>
      </w:r>
    </w:p>
    <w:p w14:paraId="1ED83419">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_Toc24387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_Toc24387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val="0"/>
          <w:caps w:val="0"/>
          <w:color w:val="auto"/>
          <w:highlight w:val="none"/>
        </w:rPr>
        <w:fldChar w:fldCharType="end"/>
      </w:r>
    </w:p>
    <w:p w14:paraId="6461942C">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_Toc12064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val="0"/>
          <w:caps w:val="0"/>
          <w:color w:val="auto"/>
          <w:highlight w:val="none"/>
        </w:rPr>
        <w:fldChar w:fldCharType="end"/>
      </w:r>
    </w:p>
    <w:p w14:paraId="1E144631">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_Toc11728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_Toc11728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val="0"/>
          <w:caps w:val="0"/>
          <w:color w:val="auto"/>
          <w:highlight w:val="none"/>
        </w:rPr>
        <w:fldChar w:fldCharType="end"/>
      </w:r>
    </w:p>
    <w:p w14:paraId="51CAB4DD">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_Toc17816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_Toc17816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cs="宋体"/>
          <w:bCs w:val="0"/>
          <w:caps w:val="0"/>
          <w:color w:val="auto"/>
          <w:highlight w:val="none"/>
        </w:rPr>
        <w:fldChar w:fldCharType="end"/>
      </w:r>
    </w:p>
    <w:p w14:paraId="25BC526A">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_Toc26280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_Toc26280 \h </w:instrText>
      </w:r>
      <w:r>
        <w:rPr>
          <w:color w:val="auto"/>
          <w:highlight w:val="none"/>
        </w:rPr>
        <w:fldChar w:fldCharType="separate"/>
      </w:r>
      <w:r>
        <w:rPr>
          <w:color w:val="auto"/>
          <w:highlight w:val="none"/>
        </w:rPr>
        <w:t>41</w:t>
      </w:r>
      <w:r>
        <w:rPr>
          <w:color w:val="auto"/>
          <w:highlight w:val="none"/>
        </w:rPr>
        <w:fldChar w:fldCharType="end"/>
      </w:r>
      <w:r>
        <w:rPr>
          <w:rFonts w:hint="eastAsia" w:ascii="宋体" w:hAnsi="宋体" w:cs="宋体"/>
          <w:bCs w:val="0"/>
          <w:caps w:val="0"/>
          <w:color w:val="auto"/>
          <w:highlight w:val="none"/>
        </w:rPr>
        <w:fldChar w:fldCharType="end"/>
      </w:r>
    </w:p>
    <w:p w14:paraId="4A4B8236">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_Toc7792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_Toc7792 \h </w:instrText>
      </w:r>
      <w:r>
        <w:rPr>
          <w:color w:val="auto"/>
          <w:highlight w:val="none"/>
        </w:rPr>
        <w:fldChar w:fldCharType="separate"/>
      </w:r>
      <w:r>
        <w:rPr>
          <w:color w:val="auto"/>
          <w:highlight w:val="none"/>
        </w:rPr>
        <w:t>42</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9"/>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5"/>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bookmarkStart w:id="8" w:name="_Toc7416"/>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5"/>
        <w:spacing w:before="0" w:after="0" w:line="360" w:lineRule="auto"/>
        <w:rPr>
          <w:rFonts w:hint="eastAsia" w:ascii="宋体" w:hAnsi="宋体" w:eastAsia="宋体" w:cs="宋体"/>
          <w:color w:val="auto"/>
          <w:highlight w:val="none"/>
        </w:rPr>
      </w:pPr>
      <w:bookmarkStart w:id="9" w:name="_Toc11329213"/>
      <w:bookmarkStart w:id="10" w:name="_Toc247085672"/>
      <w:bookmarkStart w:id="11" w:name="_Toc144974480"/>
      <w:bookmarkStart w:id="12" w:name="_Toc152042288"/>
      <w:bookmarkStart w:id="13" w:name="_Toc13849"/>
      <w:bookmarkStart w:id="14" w:name="_Toc152045512"/>
      <w:bookmarkStart w:id="15" w:name="_Toc179632528"/>
      <w:bookmarkStart w:id="16" w:name="_Toc246996901"/>
      <w:bookmarkStart w:id="17" w:name="_Toc507319891"/>
      <w:bookmarkStart w:id="18" w:name="_Toc6549"/>
      <w:bookmarkStart w:id="19" w:name="_Toc10076"/>
      <w:bookmarkStart w:id="20" w:name="_Toc24874"/>
      <w:bookmarkStart w:id="21" w:name="_Toc19817"/>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InSAR数据采购、解译处理、原型平台开发的采购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5"/>
        <w:spacing w:before="120" w:after="0" w:line="360" w:lineRule="auto"/>
        <w:rPr>
          <w:rFonts w:hint="eastAsia" w:ascii="宋体" w:hAnsi="宋体" w:eastAsia="宋体" w:cs="宋体"/>
          <w:color w:val="auto"/>
          <w:highlight w:val="none"/>
        </w:rPr>
      </w:pPr>
      <w:bookmarkStart w:id="23" w:name="_Toc30536"/>
      <w:bookmarkStart w:id="24" w:name="_Toc246996159"/>
      <w:bookmarkStart w:id="25" w:name="_Toc152045513"/>
      <w:bookmarkStart w:id="26" w:name="_Toc247085673"/>
      <w:bookmarkStart w:id="27" w:name="_Toc11329214"/>
      <w:bookmarkStart w:id="28" w:name="_Toc246996902"/>
      <w:bookmarkStart w:id="29" w:name="_Toc21343"/>
      <w:bookmarkStart w:id="30" w:name="_Toc18109"/>
      <w:bookmarkStart w:id="31" w:name="_Toc507319892"/>
      <w:bookmarkStart w:id="32" w:name="_Toc144974481"/>
      <w:bookmarkStart w:id="33" w:name="_Toc7760"/>
      <w:bookmarkStart w:id="34" w:name="_Toc179632529"/>
      <w:bookmarkStart w:id="35" w:name="_Toc10952"/>
      <w:bookmarkStart w:id="36" w:name="_Toc152042289"/>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382816230"/>
      <w:bookmarkStart w:id="38" w:name="_Toc265234827"/>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本次工作主要涉及以下三方面任务：一是InSAR数据采购，数据覆盖区域包括奉溪高速公路</w:t>
      </w:r>
      <w:r>
        <w:rPr>
          <w:rFonts w:hint="eastAsia" w:ascii="宋体" w:hAnsi="宋体" w:cs="宋体"/>
          <w:color w:val="auto"/>
          <w:szCs w:val="21"/>
          <w:highlight w:val="none"/>
          <w:u w:val="single"/>
          <w:lang w:val="en-US" w:eastAsia="zh-CN"/>
        </w:rPr>
        <w:t>约</w:t>
      </w:r>
      <w:r>
        <w:rPr>
          <w:rFonts w:hint="eastAsia" w:ascii="宋体" w:hAnsi="宋体" w:cs="宋体"/>
          <w:color w:val="auto"/>
          <w:szCs w:val="21"/>
          <w:highlight w:val="none"/>
          <w:u w:val="single"/>
        </w:rPr>
        <w:t>42</w:t>
      </w:r>
      <w:r>
        <w:rPr>
          <w:rFonts w:hint="eastAsia" w:ascii="宋体" w:hAnsi="宋体" w:cs="宋体"/>
          <w:color w:val="auto"/>
          <w:szCs w:val="21"/>
          <w:highlight w:val="none"/>
          <w:u w:val="single"/>
          <w:lang w:val="en-US" w:eastAsia="zh-CN"/>
        </w:rPr>
        <w:t>KM</w:t>
      </w:r>
      <w:r>
        <w:rPr>
          <w:rFonts w:hint="eastAsia" w:ascii="宋体" w:hAnsi="宋体" w:cs="宋体"/>
          <w:color w:val="auto"/>
          <w:szCs w:val="21"/>
          <w:highlight w:val="none"/>
          <w:u w:val="single"/>
        </w:rPr>
        <w:t>及绕城高速10</w:t>
      </w:r>
      <w:r>
        <w:rPr>
          <w:rFonts w:hint="eastAsia" w:ascii="宋体" w:hAnsi="宋体" w:cs="宋体"/>
          <w:color w:val="auto"/>
          <w:szCs w:val="21"/>
          <w:highlight w:val="none"/>
          <w:u w:val="single"/>
          <w:lang w:val="en-US" w:eastAsia="zh-CN"/>
        </w:rPr>
        <w:t>KM</w:t>
      </w:r>
      <w:r>
        <w:rPr>
          <w:rFonts w:hint="eastAsia" w:ascii="宋体" w:hAnsi="宋体" w:cs="宋体"/>
          <w:color w:val="auto"/>
          <w:szCs w:val="21"/>
          <w:highlight w:val="none"/>
          <w:u w:val="single"/>
        </w:rPr>
        <w:t>路网的SAR数据及光学遥感影像数据，SAR数据</w:t>
      </w:r>
      <w:r>
        <w:rPr>
          <w:rFonts w:hint="eastAsia" w:ascii="宋体" w:hAnsi="宋体" w:cs="宋体"/>
          <w:color w:val="auto"/>
          <w:szCs w:val="21"/>
          <w:highlight w:val="none"/>
          <w:u w:val="single"/>
          <w:lang w:val="en-US" w:eastAsia="zh-CN"/>
        </w:rPr>
        <w:t>应</w:t>
      </w:r>
      <w:r>
        <w:rPr>
          <w:rFonts w:hint="eastAsia" w:ascii="宋体" w:hAnsi="宋体" w:cs="宋体"/>
          <w:color w:val="auto"/>
          <w:szCs w:val="21"/>
          <w:highlight w:val="none"/>
          <w:u w:val="single"/>
        </w:rPr>
        <w:t>包括L波段及C波段</w:t>
      </w:r>
      <w:r>
        <w:rPr>
          <w:rFonts w:hint="eastAsia" w:ascii="宋体" w:hAnsi="宋体" w:cs="宋体"/>
          <w:color w:val="auto"/>
          <w:szCs w:val="21"/>
          <w:highlight w:val="none"/>
          <w:u w:val="single"/>
          <w:lang w:val="en-US" w:eastAsia="zh-CN"/>
        </w:rPr>
        <w:t>时序</w:t>
      </w:r>
      <w:r>
        <w:rPr>
          <w:rFonts w:hint="eastAsia" w:ascii="宋体" w:hAnsi="宋体" w:cs="宋体"/>
          <w:color w:val="auto"/>
          <w:szCs w:val="21"/>
          <w:highlight w:val="none"/>
          <w:u w:val="single"/>
        </w:rPr>
        <w:t>数据，时间序列</w:t>
      </w:r>
      <w:r>
        <w:rPr>
          <w:rFonts w:hint="eastAsia" w:ascii="宋体" w:hAnsi="宋体" w:cs="宋体"/>
          <w:color w:val="auto"/>
          <w:szCs w:val="21"/>
          <w:highlight w:val="none"/>
          <w:u w:val="single"/>
          <w:lang w:val="en-US" w:eastAsia="zh-CN"/>
        </w:rPr>
        <w:t>应不低于</w:t>
      </w:r>
      <w:r>
        <w:rPr>
          <w:rFonts w:hint="eastAsia" w:ascii="宋体" w:hAnsi="宋体" w:cs="宋体"/>
          <w:color w:val="auto"/>
          <w:szCs w:val="21"/>
          <w:highlight w:val="none"/>
          <w:u w:val="single"/>
        </w:rPr>
        <w:t>2023年8月至2026年12月，2026年6、7、8月汛期</w:t>
      </w:r>
      <w:r>
        <w:rPr>
          <w:rFonts w:hint="eastAsia" w:ascii="宋体" w:hAnsi="宋体" w:cs="宋体"/>
          <w:color w:val="auto"/>
          <w:szCs w:val="21"/>
          <w:highlight w:val="none"/>
          <w:u w:val="single"/>
          <w:lang w:val="en-US" w:eastAsia="zh-CN"/>
        </w:rPr>
        <w:t>不低于</w:t>
      </w:r>
      <w:r>
        <w:rPr>
          <w:rFonts w:hint="eastAsia" w:ascii="宋体" w:hAnsi="宋体" w:cs="宋体"/>
          <w:color w:val="auto"/>
          <w:szCs w:val="21"/>
          <w:highlight w:val="none"/>
          <w:u w:val="single"/>
        </w:rPr>
        <w:t>2次/月</w:t>
      </w:r>
      <w:r>
        <w:rPr>
          <w:rFonts w:hint="eastAsia" w:ascii="宋体" w:hAnsi="宋体" w:cs="宋体"/>
          <w:color w:val="auto"/>
          <w:szCs w:val="21"/>
          <w:highlight w:val="none"/>
          <w:u w:val="single"/>
          <w:lang w:val="en-US" w:eastAsia="zh-CN"/>
        </w:rPr>
        <w:t>,若因拍摄轨道原因导致拍摄次数不足，则2026年12月期满后补充次数</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光学遥感影像数据</w:t>
      </w:r>
      <w:r>
        <w:rPr>
          <w:rFonts w:hint="eastAsia" w:ascii="宋体" w:hAnsi="宋体" w:cs="宋体"/>
          <w:color w:val="auto"/>
          <w:szCs w:val="21"/>
          <w:highlight w:val="none"/>
          <w:u w:val="single"/>
          <w:lang w:val="en-US" w:eastAsia="zh-CN"/>
        </w:rPr>
        <w:t>应</w:t>
      </w:r>
      <w:r>
        <w:rPr>
          <w:rFonts w:hint="eastAsia" w:ascii="宋体" w:hAnsi="宋体" w:cs="宋体"/>
          <w:color w:val="auto"/>
          <w:szCs w:val="21"/>
          <w:highlight w:val="none"/>
          <w:u w:val="single"/>
        </w:rPr>
        <w:t>为0.5米高分辨率数据；二是数据解译处理，</w:t>
      </w:r>
      <w:r>
        <w:rPr>
          <w:rFonts w:hint="eastAsia" w:ascii="宋体" w:hAnsi="宋体" w:cs="宋体"/>
          <w:color w:val="auto"/>
          <w:szCs w:val="21"/>
          <w:highlight w:val="none"/>
          <w:u w:val="single"/>
          <w:lang w:val="en-US" w:eastAsia="zh-CN"/>
        </w:rPr>
        <w:t>对采购的SAR数据进行</w:t>
      </w:r>
      <w:r>
        <w:rPr>
          <w:rFonts w:hint="eastAsia" w:ascii="宋体" w:hAnsi="宋体" w:cs="宋体"/>
          <w:color w:val="auto"/>
          <w:szCs w:val="21"/>
          <w:highlight w:val="none"/>
          <w:u w:val="single"/>
        </w:rPr>
        <w:t>解译处理，叠加光学遥感影像数据进行路网沿线综合遥感解译，识别隐患靶区；三是原型平台开发，</w:t>
      </w:r>
      <w:r>
        <w:rPr>
          <w:rFonts w:hint="eastAsia" w:ascii="宋体" w:hAnsi="宋体" w:cs="宋体"/>
          <w:color w:val="auto"/>
          <w:szCs w:val="21"/>
          <w:highlight w:val="none"/>
          <w:u w:val="single"/>
          <w:lang w:val="en-US" w:eastAsia="zh-CN"/>
        </w:rPr>
        <w:t>应</w:t>
      </w:r>
      <w:r>
        <w:rPr>
          <w:rFonts w:hint="eastAsia" w:ascii="宋体" w:hAnsi="宋体" w:cs="宋体"/>
          <w:color w:val="auto"/>
          <w:szCs w:val="21"/>
          <w:highlight w:val="none"/>
          <w:u w:val="single"/>
        </w:rPr>
        <w:t>包括多源数据管理、InSAR形变监测、风险智能识别</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高速保护线人为扰动监测识别</w:t>
      </w:r>
      <w:r>
        <w:rPr>
          <w:rFonts w:hint="eastAsia" w:ascii="宋体" w:hAnsi="宋体" w:cs="宋体"/>
          <w:color w:val="auto"/>
          <w:szCs w:val="21"/>
          <w:highlight w:val="none"/>
          <w:u w:val="single"/>
        </w:rPr>
        <w:t>与综合评估等功能</w:t>
      </w:r>
      <w:r>
        <w:rPr>
          <w:rFonts w:hint="eastAsia" w:ascii="宋体" w:hAnsi="宋体" w:cs="宋体"/>
          <w:color w:val="auto"/>
          <w:szCs w:val="21"/>
          <w:highlight w:val="none"/>
          <w:u w:val="single"/>
          <w:lang w:eastAsia="zh-CN"/>
        </w:rPr>
        <w:t>，平台内置动态阈值学习与误报过滤机制，根据实际反馈调整预警灵敏度，确保有效提醒率达标、无效提醒率可控，风险漏报率低于5%，误报率控制在10%以内</w:t>
      </w:r>
      <w:r>
        <w:rPr>
          <w:rFonts w:hint="eastAsia" w:ascii="宋体" w:hAnsi="宋体" w:cs="宋体"/>
          <w:color w:val="auto"/>
          <w:szCs w:val="21"/>
          <w:highlight w:val="none"/>
          <w:u w:val="single"/>
        </w:rPr>
        <w:t>。</w:t>
      </w:r>
      <w:bookmarkEnd w:id="40"/>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95.00</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szCs w:val="21"/>
          <w:highlight w:val="none"/>
          <w:u w:val="single"/>
        </w:rPr>
        <w:t>InSAR数据采购、解译处理、原型平台开发</w:t>
      </w:r>
      <w:r>
        <w:rPr>
          <w:rFonts w:hint="eastAsia" w:ascii="宋体" w:hAnsi="宋体" w:cs="宋体"/>
          <w:color w:val="auto"/>
          <w:szCs w:val="21"/>
          <w:highlight w:val="none"/>
          <w:u w:val="single"/>
          <w:lang w:val="en-US" w:eastAsia="zh-CN"/>
        </w:rPr>
        <w:t>技术服务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在202</w:t>
      </w:r>
      <w:r>
        <w:rPr>
          <w:rFonts w:hint="eastAsia" w:ascii="宋体" w:hAnsi="宋体" w:cs="宋体"/>
          <w:color w:val="auto"/>
          <w:szCs w:val="21"/>
          <w:highlight w:val="none"/>
          <w:u w:val="single"/>
          <w:lang w:val="en-US" w:eastAsia="zh-CN"/>
        </w:rPr>
        <w:t>6</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12</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31</w:t>
      </w:r>
      <w:r>
        <w:rPr>
          <w:rFonts w:hint="eastAsia" w:ascii="宋体" w:hAnsi="宋体" w:cs="宋体"/>
          <w:color w:val="auto"/>
          <w:szCs w:val="21"/>
          <w:highlight w:val="none"/>
          <w:u w:val="single"/>
        </w:rPr>
        <w:t>日完成全部模块的交付。具体进度按采购人要求为准。</w:t>
      </w:r>
      <w:bookmarkEnd w:id="42"/>
    </w:p>
    <w:p w14:paraId="5937ADBE">
      <w:pPr>
        <w:wordWrap w:val="0"/>
        <w:snapToGrid w:val="0"/>
        <w:spacing w:line="420" w:lineRule="exact"/>
        <w:ind w:firstLine="413" w:firstLineChars="197"/>
        <w:rPr>
          <w:rFonts w:hint="eastAsia" w:ascii="宋体" w:hAnsi="宋体" w:cs="宋体"/>
          <w:color w:val="auto"/>
          <w:szCs w:val="21"/>
          <w:highlight w:val="none"/>
        </w:rPr>
      </w:pPr>
      <w:bookmarkStart w:id="43" w:name="_Toc7065"/>
      <w:bookmarkStart w:id="44" w:name="_Toc10171"/>
      <w:bookmarkStart w:id="45" w:name="_Toc30356"/>
      <w:bookmarkStart w:id="46" w:name="_Toc507319893"/>
      <w:bookmarkStart w:id="47" w:name="_Toc152042290"/>
      <w:bookmarkStart w:id="48" w:name="_Toc11329215"/>
      <w:bookmarkStart w:id="49" w:name="_Toc246996160"/>
      <w:bookmarkStart w:id="50" w:name="_Toc152045514"/>
      <w:bookmarkStart w:id="51" w:name="_Toc246996903"/>
      <w:bookmarkStart w:id="52" w:name="_Toc247085674"/>
      <w:bookmarkStart w:id="53" w:name="_Toc144974482"/>
      <w:bookmarkStart w:id="54" w:name="_Toc179632530"/>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48114065">
      <w:pPr>
        <w:pStyle w:val="5"/>
        <w:spacing w:before="120" w:after="0" w:line="360" w:lineRule="auto"/>
        <w:rPr>
          <w:rFonts w:hint="eastAsia" w:ascii="宋体" w:hAnsi="宋体" w:eastAsia="宋体" w:cs="宋体"/>
          <w:color w:val="auto"/>
          <w:highlight w:val="none"/>
        </w:rPr>
      </w:pPr>
      <w:bookmarkStart w:id="56" w:name="_Toc15492"/>
      <w:bookmarkStart w:id="57" w:name="_Toc13092"/>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58E02B85">
      <w:pPr>
        <w:pStyle w:val="14"/>
        <w:adjustRightInd w:val="0"/>
        <w:spacing w:line="400" w:lineRule="exact"/>
        <w:rPr>
          <w:rFonts w:hint="eastAsia" w:ascii="宋体" w:hAnsi="宋体" w:cs="宋体"/>
          <w:color w:val="auto"/>
          <w:sz w:val="21"/>
          <w:szCs w:val="21"/>
          <w:highlight w:val="none"/>
        </w:rPr>
      </w:pPr>
      <w:bookmarkStart w:id="58" w:name="_Toc246996161"/>
      <w:bookmarkStart w:id="59" w:name="_Toc152042291"/>
      <w:bookmarkStart w:id="60" w:name="_Toc152045515"/>
      <w:bookmarkStart w:id="61" w:name="_Toc179632531"/>
      <w:bookmarkStart w:id="62" w:name="_Toc246996904"/>
      <w:bookmarkStart w:id="63" w:name="_Toc144974483"/>
      <w:bookmarkStart w:id="64" w:name="_Toc247085675"/>
      <w:r>
        <w:rPr>
          <w:rFonts w:hint="eastAsia" w:ascii="宋体" w:hAnsi="宋体" w:cs="宋体"/>
          <w:color w:val="auto"/>
          <w:sz w:val="21"/>
          <w:szCs w:val="21"/>
          <w:highlight w:val="none"/>
        </w:rPr>
        <w:t>3.1 资质要求：</w:t>
      </w:r>
      <w:bookmarkStart w:id="65" w:name="资质要求"/>
      <w:r>
        <w:rPr>
          <w:rFonts w:hint="eastAsia" w:ascii="宋体" w:hAnsi="宋体" w:cs="宋体"/>
          <w:color w:val="auto"/>
          <w:sz w:val="21"/>
          <w:szCs w:val="21"/>
          <w:highlight w:val="none"/>
        </w:rPr>
        <w:t>报价人具有独立法人资格及有效的营业执照或事业单位法人证书。</w:t>
      </w:r>
      <w:bookmarkEnd w:id="65"/>
    </w:p>
    <w:p w14:paraId="2AF27C70">
      <w:pPr>
        <w:pStyle w:val="14"/>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报价人在2023年1月1日至报价截止日期（以合同签订时间为准）至少承担一项合同金额不低于50万元的软件开发或系统开发服务业绩。</w:t>
      </w:r>
      <w:bookmarkEnd w:id="66"/>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5"/>
        <w:spacing w:before="120" w:after="0" w:line="400" w:lineRule="exact"/>
        <w:rPr>
          <w:rFonts w:hint="eastAsia" w:ascii="宋体" w:hAnsi="宋体" w:eastAsia="宋体" w:cs="宋体"/>
          <w:color w:val="auto"/>
          <w:highlight w:val="none"/>
        </w:rPr>
      </w:pPr>
      <w:bookmarkStart w:id="67" w:name="_Toc1783"/>
      <w:bookmarkStart w:id="68" w:name="_Toc13035"/>
      <w:bookmarkStart w:id="69" w:name="_Toc11329216"/>
      <w:bookmarkStart w:id="70" w:name="_Toc14361"/>
      <w:bookmarkStart w:id="71" w:name="_Toc12460"/>
      <w:bookmarkStart w:id="72" w:name="_Toc507319894"/>
      <w:bookmarkStart w:id="73" w:name="_Toc25619"/>
      <w:r>
        <w:rPr>
          <w:rFonts w:hint="eastAsia" w:ascii="宋体" w:hAnsi="宋体" w:eastAsia="宋体" w:cs="宋体"/>
          <w:color w:val="auto"/>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5"/>
        <w:spacing w:before="120" w:after="0" w:line="400" w:lineRule="exact"/>
        <w:rPr>
          <w:rFonts w:hint="eastAsia" w:ascii="宋体" w:hAnsi="宋体" w:eastAsia="宋体" w:cs="宋体"/>
          <w:color w:val="auto"/>
          <w:highlight w:val="none"/>
        </w:rPr>
      </w:pPr>
      <w:bookmarkStart w:id="74" w:name="_Toc28958"/>
      <w:bookmarkStart w:id="75" w:name="_Toc17600"/>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color w:val="auto"/>
          <w:szCs w:val="21"/>
          <w:highlight w:val="none"/>
        </w:rPr>
      </w:pPr>
      <w:bookmarkStart w:id="76" w:name="_Toc246996162"/>
      <w:bookmarkStart w:id="77" w:name="_Toc144974484"/>
      <w:bookmarkStart w:id="78" w:name="_Toc247085676"/>
      <w:bookmarkStart w:id="79" w:name="_Toc152045516"/>
      <w:bookmarkStart w:id="80" w:name="_Toc246996905"/>
      <w:bookmarkStart w:id="81" w:name="_Toc152042292"/>
      <w:bookmarkStart w:id="82" w:name="_Toc11329217"/>
      <w:bookmarkStart w:id="83" w:name="_Toc507319895"/>
      <w:bookmarkStart w:id="84"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5"/>
        <w:spacing w:before="120" w:after="0" w:line="400" w:lineRule="exact"/>
        <w:rPr>
          <w:rFonts w:hint="eastAsia" w:ascii="宋体" w:hAnsi="宋体" w:eastAsia="宋体" w:cs="宋体"/>
          <w:color w:val="auto"/>
          <w:highlight w:val="none"/>
        </w:rPr>
      </w:pPr>
      <w:bookmarkStart w:id="85" w:name="_Toc14325"/>
      <w:bookmarkStart w:id="86" w:name="_Toc31493"/>
      <w:bookmarkStart w:id="87" w:name="_Toc20055"/>
      <w:bookmarkStart w:id="88" w:name="_Toc9131"/>
      <w:bookmarkStart w:id="89" w:name="_Toc16686"/>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5"/>
        <w:spacing w:before="120" w:after="0" w:line="400" w:lineRule="exact"/>
        <w:rPr>
          <w:rFonts w:hint="eastAsia" w:ascii="宋体" w:hAnsi="宋体" w:eastAsia="宋体" w:cs="宋体"/>
          <w:color w:val="auto"/>
          <w:highlight w:val="none"/>
        </w:rPr>
      </w:pPr>
      <w:bookmarkStart w:id="91" w:name="_Toc4010"/>
      <w:bookmarkStart w:id="92" w:name="_Toc393"/>
      <w:bookmarkStart w:id="93" w:name="_Toc179632534"/>
      <w:bookmarkStart w:id="94" w:name="_Toc152045517"/>
      <w:bookmarkStart w:id="95" w:name="_Toc144974485"/>
      <w:bookmarkStart w:id="96" w:name="_Toc246996164"/>
      <w:bookmarkStart w:id="97" w:name="_Toc246996907"/>
      <w:bookmarkStart w:id="98" w:name="_Toc507319897"/>
      <w:bookmarkStart w:id="99" w:name="_Toc152042293"/>
      <w:bookmarkStart w:id="100" w:name="_Toc21615"/>
      <w:bookmarkStart w:id="101" w:name="_Toc15120"/>
      <w:bookmarkStart w:id="102" w:name="_Toc247085678"/>
      <w:bookmarkStart w:id="103" w:name="_Toc11329219"/>
      <w:bookmarkStart w:id="104" w:name="_Toc18402"/>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地址：重庆市渝北区新南路52号东界龙湖3楼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丁</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17784459939</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6CF99B08">
      <w:pPr>
        <w:rPr>
          <w:color w:val="auto"/>
          <w:highlight w:val="none"/>
        </w:rPr>
      </w:pPr>
    </w:p>
    <w:p w14:paraId="39E03403">
      <w:pPr>
        <w:pStyle w:val="29"/>
        <w:rPr>
          <w:color w:val="auto"/>
          <w:highlight w:val="none"/>
        </w:rPr>
      </w:pPr>
    </w:p>
    <w:p w14:paraId="69382D2E">
      <w:pPr>
        <w:rPr>
          <w:color w:val="auto"/>
          <w:highlight w:val="none"/>
        </w:rPr>
      </w:pPr>
    </w:p>
    <w:p w14:paraId="2B2A329A">
      <w:pPr>
        <w:pStyle w:val="29"/>
        <w:rPr>
          <w:color w:val="auto"/>
          <w:highlight w:val="none"/>
        </w:rPr>
      </w:pPr>
    </w:p>
    <w:p w14:paraId="21C2761D">
      <w:pPr>
        <w:pStyle w:val="4"/>
        <w:spacing w:before="0" w:after="0" w:line="360" w:lineRule="auto"/>
        <w:jc w:val="center"/>
        <w:rPr>
          <w:rFonts w:hint="eastAsia" w:ascii="宋体" w:hAnsi="宋体" w:cs="宋体"/>
          <w:color w:val="auto"/>
          <w:highlight w:val="none"/>
        </w:rPr>
      </w:pPr>
      <w:bookmarkStart w:id="105" w:name="_Toc2000405"/>
      <w:bookmarkStart w:id="106" w:name="_Toc152042303"/>
      <w:bookmarkStart w:id="107" w:name="_Toc152045527"/>
      <w:bookmarkStart w:id="108" w:name="_Toc247085687"/>
      <w:bookmarkStart w:id="109" w:name="_Toc246996916"/>
      <w:bookmarkStart w:id="110" w:name="_Toc144974495"/>
      <w:bookmarkStart w:id="111" w:name="_Toc246996173"/>
      <w:bookmarkStart w:id="112" w:name="_Toc179632544"/>
      <w:bookmarkStart w:id="113" w:name="_Toc507319898"/>
      <w:r>
        <w:rPr>
          <w:rFonts w:hint="eastAsia" w:ascii="宋体" w:hAnsi="宋体" w:cs="宋体"/>
          <w:color w:val="auto"/>
          <w:highlight w:val="none"/>
        </w:rPr>
        <w:br w:type="page"/>
      </w:r>
      <w:bookmarkStart w:id="114" w:name="_Toc12865"/>
      <w:bookmarkStart w:id="115" w:name="_Toc8556"/>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1CF03BF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01EBC49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址：重庆市渝北区新南路52号东界龙湖3楼</w:t>
            </w:r>
          </w:p>
          <w:p w14:paraId="0AD3395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602A6082">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InSAR数据采购、解译处理、原型平台开发的采购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943560.00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w:t>
            </w:r>
            <w:bookmarkStart w:id="262" w:name="_GoBack"/>
            <w:bookmarkEnd w:id="262"/>
            <w:r>
              <w:rPr>
                <w:rFonts w:hint="eastAsia" w:ascii="宋体" w:hAnsi="宋体" w:cs="宋体"/>
                <w:bCs/>
                <w:color w:val="auto"/>
                <w:szCs w:val="21"/>
                <w:highlight w:val="none"/>
              </w:rPr>
              <w:t>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9"/>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172D6BB">
            <w:pPr>
              <w:spacing w:line="400" w:lineRule="exact"/>
              <w:ind w:firstLine="420" w:firstLineChars="200"/>
              <w:rPr>
                <w:rFonts w:hint="eastAsia" w:ascii="宋体" w:hAnsi="宋体" w:cs="宋体"/>
                <w:color w:val="auto"/>
                <w:szCs w:val="21"/>
                <w:highlight w:val="none"/>
              </w:rPr>
            </w:pPr>
            <w:bookmarkStart w:id="120" w:name="支付方式"/>
            <w:r>
              <w:rPr>
                <w:rFonts w:hint="eastAsia" w:ascii="宋体" w:hAnsi="宋体" w:cs="宋体"/>
                <w:color w:val="auto"/>
                <w:szCs w:val="21"/>
                <w:highlight w:val="none"/>
              </w:rPr>
              <w:t xml:space="preserve">1、每提交一项里程碑规定内容，经甲方验收合格后90天内支付该项里程碑费用的95%。 </w:t>
            </w:r>
          </w:p>
          <w:p w14:paraId="05A46B0D">
            <w:pPr>
              <w:spacing w:line="400" w:lineRule="exact"/>
              <w:ind w:firstLine="420" w:firstLineChars="200"/>
              <w:rPr>
                <w:color w:val="auto"/>
                <w:highlight w:val="none"/>
              </w:rPr>
            </w:pPr>
            <w:r>
              <w:rPr>
                <w:rFonts w:hint="eastAsia" w:ascii="宋体" w:hAnsi="宋体" w:cs="宋体"/>
                <w:color w:val="auto"/>
                <w:szCs w:val="21"/>
                <w:highlight w:val="none"/>
              </w:rPr>
              <w:t>2、剩余5%为质量保证金，在设备质量保修期满一年后，由乙方主动提出书面申请，经甲方确认后，30天内甲方向乙方支付剩余5%质量保证金（质量保证金不计任何利息）。</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InSAR数据采购、解译处理、原型平台开发的采购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eastAsia="宋体"/>
                <w:color w:val="auto"/>
                <w:kern w:val="2"/>
                <w:sz w:val="21"/>
                <w:szCs w:val="21"/>
                <w:highlight w:val="none"/>
                <w:lang w:val="en-US" w:eastAsia="zh-CN"/>
              </w:rPr>
            </w:pPr>
            <w:r>
              <w:rPr>
                <w:rFonts w:hint="eastAsia" w:hAnsi="宋体"/>
                <w:color w:val="auto"/>
                <w:sz w:val="21"/>
                <w:szCs w:val="18"/>
                <w:highlight w:val="none"/>
                <w:lang w:bidi="ar"/>
              </w:rPr>
              <w:t>报价人是否提供履约保证金：</w:t>
            </w:r>
            <w:r>
              <w:rPr>
                <w:rFonts w:hint="eastAsia" w:hAnsi="宋体"/>
                <w:color w:val="auto"/>
                <w:sz w:val="21"/>
                <w:szCs w:val="18"/>
                <w:highlight w:val="none"/>
                <w:lang w:val="en-US" w:eastAsia="zh-CN" w:bidi="ar"/>
              </w:rPr>
              <w:t>否</w:t>
            </w:r>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2、履约保证金的金额：</w:t>
            </w:r>
            <w:r>
              <w:rPr>
                <w:rFonts w:hint="eastAsia" w:hAnsi="宋体"/>
                <w:color w:val="auto"/>
                <w:kern w:val="2"/>
                <w:sz w:val="21"/>
                <w:szCs w:val="21"/>
                <w:highlight w:val="none"/>
                <w:u w:val="single"/>
                <w:lang w:val="en-US" w:eastAsia="zh-CN"/>
              </w:rPr>
              <w:t>/</w:t>
            </w:r>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8"/>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4" w:name="单据名称4"/>
            <w:r>
              <w:rPr>
                <w:rFonts w:hint="eastAsia"/>
                <w:color w:val="auto"/>
                <w:sz w:val="21"/>
                <w:szCs w:val="21"/>
                <w:highlight w:val="none"/>
                <w:u w:val="single"/>
              </w:rPr>
              <w:t>InSAR数据采购、解译处理、原型平台开发的采购</w:t>
            </w:r>
            <w:bookmarkEnd w:id="124"/>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5" w:name="OLE_LINK5"/>
            <w:r>
              <w:rPr>
                <w:rFonts w:hint="eastAsia" w:ascii="宋体" w:hAnsi="宋体" w:cs="宋体"/>
                <w:color w:val="auto"/>
                <w:kern w:val="0"/>
                <w:szCs w:val="21"/>
                <w:highlight w:val="none"/>
              </w:rPr>
              <w:t>报价</w:t>
            </w:r>
            <w:bookmarkEnd w:id="125"/>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78BF65F9">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6" w:name="_Hlt227984024"/>
      <w:bookmarkEnd w:id="126"/>
    </w:p>
    <w:p w14:paraId="34B804EA">
      <w:pPr>
        <w:pStyle w:val="5"/>
        <w:jc w:val="center"/>
        <w:rPr>
          <w:rFonts w:hint="eastAsia" w:ascii="宋体" w:hAnsi="宋体" w:eastAsia="宋体" w:cs="宋体"/>
          <w:bCs w:val="0"/>
          <w:color w:val="auto"/>
          <w:sz w:val="28"/>
          <w:szCs w:val="28"/>
          <w:highlight w:val="none"/>
        </w:rPr>
      </w:pPr>
      <w:bookmarkStart w:id="127" w:name="_Toc11284"/>
      <w:bookmarkStart w:id="128" w:name="_Toc17532"/>
      <w:bookmarkStart w:id="129" w:name="_Toc30198"/>
      <w:bookmarkStart w:id="130" w:name="_Toc11329222"/>
      <w:bookmarkStart w:id="131" w:name="_Toc31663"/>
      <w:bookmarkStart w:id="132" w:name="_Toc21580"/>
      <w:r>
        <w:rPr>
          <w:rFonts w:hint="eastAsia" w:ascii="宋体" w:hAnsi="宋体" w:eastAsia="宋体" w:cs="宋体"/>
          <w:color w:val="auto"/>
          <w:sz w:val="28"/>
          <w:szCs w:val="28"/>
          <w:highlight w:val="none"/>
        </w:rPr>
        <w:t xml:space="preserve">附录1  </w:t>
      </w:r>
      <w:bookmarkEnd w:id="127"/>
      <w:bookmarkEnd w:id="128"/>
      <w:bookmarkEnd w:id="129"/>
      <w:bookmarkEnd w:id="130"/>
      <w:bookmarkStart w:id="133" w:name="_Toc12773"/>
      <w:bookmarkStart w:id="134" w:name="_Toc27096"/>
      <w:bookmarkStart w:id="135" w:name="_Toc11329226"/>
      <w:bookmarkStart w:id="136" w:name="_Toc25591"/>
      <w:r>
        <w:rPr>
          <w:rFonts w:hint="eastAsia" w:ascii="宋体" w:hAnsi="宋体" w:eastAsia="宋体" w:cs="宋体"/>
          <w:bCs w:val="0"/>
          <w:color w:val="auto"/>
          <w:sz w:val="28"/>
          <w:szCs w:val="28"/>
          <w:highlight w:val="none"/>
        </w:rPr>
        <w:t>报价人资格要求</w:t>
      </w:r>
      <w:bookmarkEnd w:id="131"/>
      <w:bookmarkEnd w:id="132"/>
      <w:bookmarkEnd w:id="133"/>
      <w:bookmarkEnd w:id="134"/>
      <w:bookmarkEnd w:id="135"/>
      <w:bookmarkEnd w:id="136"/>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7" w:name="_Toc388534043"/>
            <w:bookmarkStart w:id="138"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39"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39"/>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cs="宋体"/>
                <w:color w:val="auto"/>
                <w:szCs w:val="21"/>
                <w:highlight w:val="none"/>
              </w:rPr>
              <w:t>报价人在2023年1月1日至报价截止日期（以合同签订时间为准）至少承担一项合同金额不低于50万元的软件开发或系统开发服务业绩。</w:t>
            </w:r>
            <w:bookmarkEnd w:id="140"/>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报价人承诺拟派1名项目负责人为本项目服务。</w:t>
            </w:r>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报价人承诺拟派5名及以上软件开发人员为本项目服务。</w:t>
            </w:r>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7"/>
      <w:bookmarkEnd w:id="138"/>
    </w:p>
    <w:p w14:paraId="0E468C64">
      <w:pPr>
        <w:pStyle w:val="19"/>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9"/>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4"/>
        <w:numPr>
          <w:ilvl w:val="0"/>
          <w:numId w:val="3"/>
        </w:numPr>
        <w:spacing w:before="319" w:beforeLines="100" w:after="319" w:afterLines="100" w:line="360" w:lineRule="auto"/>
        <w:ind w:left="1050" w:leftChars="0" w:firstLineChars="0"/>
        <w:jc w:val="center"/>
        <w:rPr>
          <w:color w:val="auto"/>
          <w:highlight w:val="none"/>
        </w:rPr>
      </w:pPr>
      <w:bookmarkStart w:id="141" w:name="_Toc31054"/>
      <w:bookmarkStart w:id="142" w:name="_Toc19471"/>
      <w:bookmarkStart w:id="143" w:name="_Toc31719"/>
      <w:r>
        <w:rPr>
          <w:rFonts w:hint="eastAsia" w:ascii="宋体" w:hAnsi="宋体" w:cs="宋体"/>
          <w:color w:val="auto"/>
          <w:highlight w:val="none"/>
        </w:rPr>
        <w:t>评标办法（综合评估法）</w:t>
      </w:r>
      <w:bookmarkEnd w:id="141"/>
      <w:bookmarkEnd w:id="142"/>
      <w:bookmarkEnd w:id="143"/>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4022E44">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38A83F77">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550523D5">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4D14887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报价人对“服务要求”中所列需求进行响应，所选用的软件开发架构和工具应具有先进性，功能齐全且具备扩展性；具有详细的设计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537F7946">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481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9AEA92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C5EADE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7569AF2">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651B367D">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2760C5B2">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366C715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InSAR数据采购、解译处理、原型平台开发提供合理可行的项目实施方案，方案至少包含项目实施的组织架构、实施计划、实施管理流程；实施方案内容全面、结构清晰；实施方案针对技术、资源、时间的安排合理。根据编制内容优劣给分：</w:t>
            </w:r>
          </w:p>
          <w:p w14:paraId="36966115">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BB32B58">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9C3A575">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537EEE51">
            <w:pPr>
              <w:pStyle w:val="42"/>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00942B6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InSAR数据采购、解译处理、原型平台开发提供合理可行的项目售后服务技术支持及技术交底服务方案，方案至少包含开发过程文档、需求变更文档，技术交底方式、计划、技术交底质量控制、缺陷责任期响应和修复保障等内容。</w:t>
            </w:r>
          </w:p>
          <w:p w14:paraId="5379BCC1">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A89EC0D">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4D515080">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6D979CFB">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4A45CBE6">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具有有效的CMMI</w:t>
            </w:r>
            <w:r>
              <w:rPr>
                <w:rFonts w:hint="eastAsia" w:ascii="宋体" w:hAnsi="宋体" w:eastAsia="宋体" w:cs="宋体"/>
                <w:b w:val="0"/>
                <w:bCs w:val="0"/>
                <w:color w:val="auto"/>
                <w:szCs w:val="21"/>
                <w:highlight w:val="none"/>
                <w:u w:val="none"/>
              </w:rPr>
              <w:fldChar w:fldCharType="begin"/>
            </w:r>
            <w:r>
              <w:rPr>
                <w:rFonts w:hint="eastAsia" w:ascii="宋体" w:hAnsi="宋体" w:eastAsia="宋体" w:cs="宋体"/>
                <w:b w:val="0"/>
                <w:bCs w:val="0"/>
                <w:color w:val="auto"/>
                <w:szCs w:val="21"/>
                <w:highlight w:val="none"/>
                <w:u w:val="none"/>
              </w:rPr>
              <w:instrText xml:space="preserve"> HYPERLINK "https://www.baidu.com/s?rsv_dl=re_dqa_generate&amp;sa=re_dqa_generate&amp;wd=%E8%83%BD%E5%8A%9B%E6%88%90%E7%86%9F%E5%BA%A6%E6%A8%A1%E5%9E%8B%E9%9B%86%E6%88%90&amp;rsv_pq=f461672500368072&amp;oq=CMMI&amp;rsv_t=c3adlSwR2gCVG9DqOcM9NLBXjRLFfgzjUwZkdJfmnuQPrQTOFDyx3WhKX2g&amp;tn=baidu&amp;ie=utf-8" \t "https://www.baidu.com/_blank" </w:instrText>
            </w:r>
            <w:r>
              <w:rPr>
                <w:rFonts w:hint="eastAsia" w:ascii="宋体" w:hAnsi="宋体" w:eastAsia="宋体" w:cs="宋体"/>
                <w:b w:val="0"/>
                <w:bCs w:val="0"/>
                <w:color w:val="auto"/>
                <w:szCs w:val="21"/>
                <w:highlight w:val="none"/>
                <w:u w:val="none"/>
              </w:rPr>
              <w:fldChar w:fldCharType="separate"/>
            </w:r>
            <w:r>
              <w:rPr>
                <w:rFonts w:hint="eastAsia" w:ascii="宋体" w:hAnsi="宋体" w:eastAsia="宋体" w:cs="宋体"/>
                <w:b w:val="0"/>
                <w:bCs w:val="0"/>
                <w:color w:val="auto"/>
                <w:szCs w:val="21"/>
                <w:highlight w:val="none"/>
                <w:u w:val="none"/>
              </w:rPr>
              <w:t>能力成熟度模型集成</w:t>
            </w:r>
            <w:r>
              <w:rPr>
                <w:rFonts w:hint="eastAsia" w:ascii="宋体" w:hAnsi="宋体" w:eastAsia="宋体" w:cs="宋体"/>
                <w:b w:val="0"/>
                <w:bCs w:val="0"/>
                <w:color w:val="auto"/>
                <w:szCs w:val="21"/>
                <w:highlight w:val="none"/>
                <w:u w:val="none"/>
              </w:rPr>
              <w:fldChar w:fldCharType="end"/>
            </w:r>
            <w:r>
              <w:rPr>
                <w:rFonts w:hint="eastAsia" w:ascii="宋体" w:hAnsi="宋体" w:eastAsia="宋体" w:cs="宋体"/>
                <w:b w:val="0"/>
                <w:bCs w:val="0"/>
                <w:color w:val="auto"/>
                <w:szCs w:val="21"/>
                <w:highlight w:val="none"/>
                <w:u w:val="none"/>
              </w:rPr>
              <w:t>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630512EB">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7E05515C">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14:paraId="16B0EAF7">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670C7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30E6D10">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5011045">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46AD73C">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项目团队(2分)</w:t>
            </w:r>
          </w:p>
          <w:p w14:paraId="321640F6">
            <w:pPr>
              <w:keepNext w:val="0"/>
              <w:keepLines w:val="0"/>
              <w:pageBreakBefore w:val="0"/>
              <w:widowControl/>
              <w:kinsoku/>
              <w:wordWrap/>
              <w:overflowPunct/>
              <w:topLinePunct w:val="0"/>
              <w:bidi w:val="0"/>
              <w:snapToGrid/>
              <w:spacing w:line="360" w:lineRule="atLeast"/>
              <w:jc w:val="center"/>
              <w:textAlignment w:val="center"/>
              <w:rPr>
                <w:rFonts w:hint="eastAsia" w:ascii="宋体" w:hAnsi="宋体" w:cs="宋体"/>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527513EA">
            <w:pPr>
              <w:snapToGrid w:val="0"/>
              <w:spacing w:line="400" w:lineRule="exact"/>
              <w:ind w:firstLine="420" w:firstLineChars="200"/>
              <w:rPr>
                <w:rFonts w:hint="default"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1.项目负责人</w:t>
            </w:r>
            <w:r>
              <w:rPr>
                <w:rFonts w:hint="eastAsia" w:ascii="宋体" w:hAnsi="宋体" w:cs="宋体"/>
                <w:b w:val="0"/>
                <w:bCs w:val="0"/>
                <w:color w:val="auto"/>
                <w:kern w:val="1"/>
                <w:sz w:val="21"/>
                <w:szCs w:val="21"/>
                <w:highlight w:val="none"/>
                <w:u w:val="none"/>
                <w:lang w:val="en-US" w:eastAsia="zh-CN" w:bidi="ar-SA"/>
              </w:rPr>
              <w:t>：</w:t>
            </w:r>
            <w:r>
              <w:rPr>
                <w:rFonts w:hint="eastAsia" w:ascii="宋体" w:hAnsi="宋体" w:eastAsia="宋体" w:cs="宋体"/>
                <w:b w:val="0"/>
                <w:bCs w:val="0"/>
                <w:color w:val="auto"/>
                <w:kern w:val="1"/>
                <w:sz w:val="21"/>
                <w:szCs w:val="21"/>
                <w:highlight w:val="none"/>
                <w:u w:val="none"/>
                <w:lang w:val="en-US" w:eastAsia="zh-CN" w:bidi="ar-SA"/>
              </w:rPr>
              <w:t>报价人拟派的项目负责人具有高级</w:t>
            </w:r>
            <w:r>
              <w:rPr>
                <w:rFonts w:hint="eastAsia" w:ascii="宋体" w:hAnsi="宋体" w:cs="宋体"/>
                <w:b w:val="0"/>
                <w:bCs w:val="0"/>
                <w:color w:val="auto"/>
                <w:kern w:val="1"/>
                <w:sz w:val="21"/>
                <w:szCs w:val="21"/>
                <w:highlight w:val="none"/>
                <w:u w:val="none"/>
                <w:lang w:val="en-US" w:eastAsia="zh-CN" w:bidi="ar-SA"/>
              </w:rPr>
              <w:t>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或高级及以上专业技术资格</w:t>
            </w:r>
            <w:r>
              <w:rPr>
                <w:rFonts w:hint="eastAsia" w:ascii="宋体" w:hAnsi="宋体" w:eastAsia="宋体" w:cs="宋体"/>
                <w:b w:val="0"/>
                <w:bCs w:val="0"/>
                <w:color w:val="auto"/>
                <w:kern w:val="1"/>
                <w:sz w:val="21"/>
                <w:szCs w:val="21"/>
                <w:highlight w:val="none"/>
                <w:u w:val="none"/>
                <w:lang w:val="en-US" w:eastAsia="zh-CN" w:bidi="ar-SA"/>
              </w:rPr>
              <w:t xml:space="preserve">的得1分。 </w:t>
            </w:r>
          </w:p>
          <w:p w14:paraId="2801EB39">
            <w:pPr>
              <w:snapToGrid w:val="0"/>
              <w:spacing w:line="400" w:lineRule="exact"/>
              <w:ind w:firstLine="420" w:firstLineChars="200"/>
              <w:rPr>
                <w:rFonts w:hint="eastAsia"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2.项目</w:t>
            </w:r>
            <w:r>
              <w:rPr>
                <w:rFonts w:hint="eastAsia" w:ascii="宋体" w:hAnsi="宋体" w:cs="宋体"/>
                <w:b w:val="0"/>
                <w:bCs w:val="0"/>
                <w:color w:val="auto"/>
                <w:kern w:val="1"/>
                <w:sz w:val="21"/>
                <w:szCs w:val="21"/>
                <w:highlight w:val="none"/>
                <w:u w:val="none"/>
                <w:lang w:val="en-US" w:eastAsia="zh-CN" w:bidi="ar-SA"/>
              </w:rPr>
              <w:t>成员：</w:t>
            </w:r>
            <w:r>
              <w:rPr>
                <w:rFonts w:hint="eastAsia" w:ascii="宋体" w:hAnsi="宋体" w:eastAsia="宋体" w:cs="宋体"/>
                <w:b w:val="0"/>
                <w:bCs w:val="0"/>
                <w:color w:val="auto"/>
                <w:kern w:val="1"/>
                <w:sz w:val="21"/>
                <w:szCs w:val="21"/>
                <w:highlight w:val="none"/>
                <w:u w:val="none"/>
                <w:lang w:val="en-US" w:eastAsia="zh-CN" w:bidi="ar-SA"/>
              </w:rPr>
              <w:t>报价人拟派的项目成员具有</w:t>
            </w:r>
            <w:r>
              <w:rPr>
                <w:rFonts w:hint="eastAsia" w:ascii="宋体" w:hAnsi="宋体" w:cs="宋体"/>
                <w:b w:val="0"/>
                <w:bCs w:val="0"/>
                <w:color w:val="auto"/>
                <w:kern w:val="1"/>
                <w:sz w:val="21"/>
                <w:szCs w:val="21"/>
                <w:highlight w:val="none"/>
                <w:u w:val="none"/>
                <w:lang w:val="en-US" w:eastAsia="zh-CN" w:bidi="ar-SA"/>
              </w:rPr>
              <w:t>中级及以上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或中级及以上专业技术资格的</w:t>
            </w:r>
            <w:r>
              <w:rPr>
                <w:rFonts w:hint="eastAsia" w:ascii="宋体" w:hAnsi="宋体" w:eastAsia="宋体" w:cs="宋体"/>
                <w:b w:val="0"/>
                <w:bCs w:val="0"/>
                <w:color w:val="auto"/>
                <w:kern w:val="1"/>
                <w:sz w:val="21"/>
                <w:szCs w:val="21"/>
                <w:highlight w:val="none"/>
                <w:u w:val="none"/>
                <w:lang w:val="en-US" w:eastAsia="zh-CN" w:bidi="ar-SA"/>
              </w:rPr>
              <w:t>得</w:t>
            </w:r>
            <w:r>
              <w:rPr>
                <w:rFonts w:hint="eastAsia" w:ascii="宋体" w:hAnsi="宋体" w:cs="宋体"/>
                <w:b w:val="0"/>
                <w:bCs w:val="0"/>
                <w:color w:val="auto"/>
                <w:kern w:val="1"/>
                <w:sz w:val="21"/>
                <w:szCs w:val="21"/>
                <w:highlight w:val="none"/>
                <w:u w:val="none"/>
                <w:lang w:val="en-US" w:eastAsia="zh-CN" w:bidi="ar-SA"/>
              </w:rPr>
              <w:t>1</w:t>
            </w:r>
            <w:r>
              <w:rPr>
                <w:rFonts w:hint="eastAsia" w:ascii="宋体" w:hAnsi="宋体" w:eastAsia="宋体" w:cs="宋体"/>
                <w:b w:val="0"/>
                <w:bCs w:val="0"/>
                <w:color w:val="auto"/>
                <w:kern w:val="1"/>
                <w:sz w:val="21"/>
                <w:szCs w:val="21"/>
                <w:highlight w:val="none"/>
                <w:u w:val="none"/>
                <w:lang w:val="en-US" w:eastAsia="zh-CN" w:bidi="ar-SA"/>
              </w:rPr>
              <w:t>分。</w:t>
            </w:r>
          </w:p>
          <w:p w14:paraId="5BB219C8">
            <w:pPr>
              <w:keepNext w:val="0"/>
              <w:keepLines w:val="0"/>
              <w:pageBreakBefore w:val="0"/>
              <w:kinsoku/>
              <w:wordWrap/>
              <w:overflowPunct/>
              <w:topLinePunct w:val="0"/>
              <w:bidi w:val="0"/>
              <w:snapToGrid/>
              <w:spacing w:line="360" w:lineRule="atLeas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bidi="ar"/>
              </w:rPr>
              <w:t>注：提供拟派</w:t>
            </w:r>
            <w:r>
              <w:rPr>
                <w:rFonts w:hint="eastAsia" w:ascii="宋体" w:hAnsi="宋体" w:cs="宋体"/>
                <w:b/>
                <w:bCs/>
                <w:color w:val="auto"/>
                <w:szCs w:val="21"/>
                <w:highlight w:val="none"/>
                <w:lang w:bidi="ar"/>
              </w:rPr>
              <w:t>人员的身份证复印件</w:t>
            </w:r>
            <w:r>
              <w:rPr>
                <w:rFonts w:hint="eastAsia" w:ascii="宋体" w:hAnsi="宋体" w:cs="宋体"/>
                <w:b/>
                <w:bCs/>
                <w:color w:val="auto"/>
                <w:szCs w:val="21"/>
                <w:highlight w:val="none"/>
                <w:lang w:val="en-US" w:eastAsia="zh-CN" w:bidi="ar"/>
              </w:rPr>
              <w:t>下、相应证书复印件，报价人为其缴纳2026年4月-2026年6月的养老保险证明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eastAsia="zh-CN" w:bidi="ar"/>
              </w:rPr>
              <w:t>。</w:t>
            </w:r>
            <w:r>
              <w:rPr>
                <w:rFonts w:hint="eastAsia" w:ascii="宋体" w:hAnsi="宋体" w:cs="宋体"/>
                <w:b/>
                <w:bCs/>
                <w:color w:val="auto"/>
                <w:szCs w:val="21"/>
                <w:highlight w:val="none"/>
                <w:lang w:val="en-US" w:eastAsia="zh-CN" w:bidi="ar"/>
              </w:rPr>
              <w:t>同一人员只计一次得分，</w:t>
            </w:r>
            <w:r>
              <w:rPr>
                <w:rFonts w:hint="eastAsia" w:ascii="宋体" w:hAnsi="宋体" w:cs="宋体"/>
                <w:b/>
                <w:bCs/>
                <w:color w:val="auto"/>
                <w:szCs w:val="21"/>
                <w:highlight w:val="none"/>
                <w:lang w:bidi="ar"/>
              </w:rPr>
              <w:t>不重复</w:t>
            </w:r>
            <w:r>
              <w:rPr>
                <w:rFonts w:hint="eastAsia" w:ascii="宋体" w:hAnsi="宋体" w:cs="宋体"/>
                <w:b/>
                <w:bCs/>
                <w:color w:val="auto"/>
                <w:szCs w:val="21"/>
                <w:highlight w:val="none"/>
                <w:lang w:val="en-US" w:eastAsia="zh-CN" w:bidi="ar"/>
              </w:rPr>
              <w:t>得</w:t>
            </w:r>
            <w:r>
              <w:rPr>
                <w:rFonts w:hint="eastAsia" w:ascii="宋体" w:hAnsi="宋体" w:cs="宋体"/>
                <w:b/>
                <w:bCs/>
                <w:color w:val="auto"/>
                <w:szCs w:val="21"/>
                <w:highlight w:val="none"/>
                <w:lang w:bidi="ar"/>
              </w:rPr>
              <w:t>分</w:t>
            </w:r>
            <w:r>
              <w:rPr>
                <w:rFonts w:hint="eastAsia" w:ascii="宋体" w:hAnsi="宋体" w:cs="宋体"/>
                <w:b/>
                <w:bCs/>
                <w:color w:val="auto"/>
                <w:szCs w:val="21"/>
                <w:highlight w:val="none"/>
                <w:lang w:eastAsia="zh-CN" w:bidi="ar"/>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AA4DA1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85EEED5">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w:t>
            </w:r>
          </w:p>
          <w:p w14:paraId="20E26719">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业绩</w:t>
            </w:r>
          </w:p>
          <w:p w14:paraId="60BBB255">
            <w:pPr>
              <w:widowControl/>
              <w:spacing w:line="40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74178747">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6B3C5C4C">
            <w:pPr>
              <w:pStyle w:val="121"/>
              <w:widowControl/>
              <w:spacing w:line="400" w:lineRule="exact"/>
              <w:jc w:val="left"/>
              <w:rPr>
                <w:rFonts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在满足资格业绩要求的基础上，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Cs w:val="21"/>
                <w:highlight w:val="none"/>
              </w:rPr>
              <w:t>2023年1月1日至竞争性比选文件发出之日</w:t>
            </w:r>
            <w:r>
              <w:rPr>
                <w:rFonts w:hint="eastAsia" w:ascii="宋体" w:hAnsi="宋体" w:cs="宋体"/>
                <w:color w:val="auto"/>
                <w:highlight w:val="none"/>
              </w:rPr>
              <w:t>止</w:t>
            </w:r>
            <w:r>
              <w:rPr>
                <w:rFonts w:hint="eastAsia" w:ascii="宋体" w:hAnsi="宋体" w:cs="宋体"/>
                <w:color w:val="auto"/>
                <w:szCs w:val="21"/>
                <w:highlight w:val="none"/>
              </w:rPr>
              <w:t>（以合同签订时间为准）每承担过一项合同金额不低于</w:t>
            </w:r>
            <w:r>
              <w:rPr>
                <w:rFonts w:hint="eastAsia" w:ascii="宋体" w:hAnsi="宋体" w:cs="宋体"/>
                <w:color w:val="auto"/>
                <w:szCs w:val="21"/>
                <w:highlight w:val="none"/>
                <w:lang w:val="en-US" w:eastAsia="zh-CN"/>
              </w:rPr>
              <w:t>50</w:t>
            </w:r>
            <w:r>
              <w:rPr>
                <w:rFonts w:hint="eastAsia" w:ascii="宋体" w:hAnsi="宋体" w:cs="宋体"/>
                <w:color w:val="auto"/>
                <w:szCs w:val="21"/>
                <w:highlight w:val="none"/>
              </w:rPr>
              <w:t>万元的</w:t>
            </w:r>
            <w:r>
              <w:rPr>
                <w:rFonts w:hint="eastAsia" w:ascii="宋体" w:hAnsi="宋体" w:cs="宋体"/>
                <w:color w:val="auto"/>
                <w:szCs w:val="21"/>
                <w:highlight w:val="none"/>
                <w:lang w:val="en-US" w:eastAsia="zh-CN"/>
              </w:rPr>
              <w:t>软件开发或系统开发</w:t>
            </w:r>
            <w:r>
              <w:rPr>
                <w:rFonts w:hint="eastAsia" w:ascii="宋体" w:hAnsi="宋体" w:cs="宋体"/>
                <w:color w:val="auto"/>
                <w:szCs w:val="21"/>
                <w:highlight w:val="none"/>
              </w:rPr>
              <w:t>业绩，</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，本项</w:t>
            </w:r>
            <w:r>
              <w:rPr>
                <w:rFonts w:hint="eastAsia" w:asciiTheme="minorEastAsia" w:hAnsiTheme="minorEastAsia" w:eastAsiaTheme="minorEastAsia" w:cstheme="minorEastAsia"/>
                <w:color w:val="auto"/>
                <w:kern w:val="0"/>
                <w:szCs w:val="21"/>
                <w:highlight w:val="none"/>
                <w:shd w:val="clear" w:color="auto" w:fill="FFFFFF"/>
                <w:lang w:bidi="ar"/>
              </w:rPr>
              <w:t>最多得</w:t>
            </w:r>
            <w:r>
              <w:rPr>
                <w:rFonts w:hint="eastAsia" w:asciiTheme="minorEastAsia" w:hAnsiTheme="minorEastAsia" w:eastAsiaTheme="minorEastAsia" w:cstheme="minorEastAsia"/>
                <w:color w:val="auto"/>
                <w:kern w:val="0"/>
                <w:szCs w:val="21"/>
                <w:highlight w:val="none"/>
                <w:shd w:val="clear" w:color="auto" w:fill="FFFFFF"/>
                <w:lang w:val="en-US" w:eastAsia="zh-CN" w:bidi="ar"/>
              </w:rPr>
              <w:t>2</w:t>
            </w:r>
            <w:r>
              <w:rPr>
                <w:rFonts w:hint="eastAsia" w:asciiTheme="minorEastAsia" w:hAnsiTheme="minorEastAsia" w:eastAsiaTheme="minorEastAsia" w:cstheme="minorEastAsia"/>
                <w:color w:val="auto"/>
                <w:kern w:val="0"/>
                <w:szCs w:val="21"/>
                <w:highlight w:val="none"/>
                <w:shd w:val="clear" w:color="auto" w:fill="FFFFFF"/>
                <w:lang w:bidi="ar"/>
              </w:rPr>
              <w:t>分</w:t>
            </w:r>
            <w:r>
              <w:rPr>
                <w:rFonts w:hint="eastAsia" w:asciiTheme="minorEastAsia" w:hAnsiTheme="minorEastAsia" w:eastAsiaTheme="minorEastAsia" w:cstheme="minorEastAsia"/>
                <w:bCs/>
                <w:color w:val="auto"/>
                <w:szCs w:val="21"/>
                <w:highlight w:val="none"/>
              </w:rPr>
              <w:t>。</w:t>
            </w:r>
          </w:p>
          <w:p w14:paraId="5239D1F6">
            <w:pPr>
              <w:spacing w:line="400" w:lineRule="exact"/>
              <w:ind w:firstLine="422" w:firstLineChars="200"/>
              <w:rPr>
                <w:rFonts w:hint="eastAsia" w:asciiTheme="minorEastAsia" w:hAnsiTheme="minorEastAsia" w:eastAsiaTheme="minorEastAsia" w:cstheme="minorEastAsia"/>
                <w:bCs/>
                <w:color w:val="auto"/>
                <w:szCs w:val="21"/>
                <w:highlight w:val="none"/>
              </w:rPr>
            </w:pPr>
            <w:r>
              <w:rPr>
                <w:rFonts w:hint="eastAsia"/>
                <w:b/>
                <w:bCs/>
                <w:color w:val="auto"/>
                <w:highlight w:val="none"/>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盖单位公章。若合同中无法体现上述内容的，则还需出具加盖业主公章的业主证明材料。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8"/>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8"/>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8"/>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8"/>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8"/>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8"/>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8"/>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56F28EC5">
      <w:pPr>
        <w:rPr>
          <w:rFonts w:hint="eastAsia" w:ascii="宋体" w:hAnsi="宋体" w:cs="宋体"/>
          <w:color w:val="auto"/>
          <w:szCs w:val="21"/>
          <w:highlight w:val="none"/>
        </w:rPr>
      </w:pPr>
      <w:bookmarkStart w:id="144" w:name="_Toc26599"/>
      <w:bookmarkStart w:id="145" w:name="_Toc6735"/>
      <w:bookmarkStart w:id="146" w:name="_Toc19268"/>
      <w:bookmarkStart w:id="147" w:name="_Toc26037"/>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r>
        <w:rPr>
          <w:rFonts w:hint="eastAsia" w:ascii="宋体" w:hAnsi="宋体" w:cs="宋体"/>
          <w:color w:val="auto"/>
          <w:szCs w:val="21"/>
          <w:highlight w:val="none"/>
        </w:rPr>
        <w:t>1.  评标方法</w:t>
      </w:r>
      <w:bookmarkEnd w:id="144"/>
      <w:bookmarkEnd w:id="145"/>
      <w:bookmarkEnd w:id="146"/>
      <w:bookmarkEnd w:id="147"/>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48" w:name="_Toc11814"/>
      <w:bookmarkStart w:id="149" w:name="_Toc1052"/>
      <w:bookmarkStart w:id="150" w:name="_Toc8753"/>
      <w:bookmarkStart w:id="151" w:name="_Toc31759"/>
      <w:bookmarkStart w:id="152" w:name="_Toc22200"/>
      <w:r>
        <w:rPr>
          <w:rFonts w:hint="eastAsia" w:ascii="宋体" w:hAnsi="宋体" w:cs="宋体"/>
          <w:color w:val="auto"/>
          <w:szCs w:val="21"/>
          <w:highlight w:val="none"/>
        </w:rPr>
        <w:t>2.  评审标准</w:t>
      </w:r>
      <w:bookmarkEnd w:id="148"/>
      <w:bookmarkEnd w:id="149"/>
      <w:bookmarkEnd w:id="150"/>
      <w:bookmarkEnd w:id="151"/>
      <w:bookmarkEnd w:id="152"/>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3" w:name="_Toc8345"/>
      <w:bookmarkStart w:id="154" w:name="_Toc10650"/>
      <w:bookmarkStart w:id="155" w:name="_Toc3077"/>
      <w:bookmarkStart w:id="156" w:name="_Toc5245"/>
      <w:bookmarkStart w:id="157" w:name="_Toc11564"/>
      <w:r>
        <w:rPr>
          <w:rFonts w:hint="eastAsia" w:ascii="宋体" w:hAnsi="宋体" w:cs="宋体"/>
          <w:color w:val="auto"/>
          <w:szCs w:val="21"/>
          <w:highlight w:val="none"/>
        </w:rPr>
        <w:t>3.  评标程序</w:t>
      </w:r>
      <w:bookmarkEnd w:id="153"/>
      <w:bookmarkEnd w:id="154"/>
      <w:bookmarkEnd w:id="155"/>
      <w:bookmarkEnd w:id="156"/>
      <w:bookmarkEnd w:id="157"/>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4"/>
        <w:spacing w:before="0" w:after="0" w:line="360" w:lineRule="auto"/>
        <w:jc w:val="center"/>
        <w:rPr>
          <w:rFonts w:hint="eastAsia" w:ascii="宋体" w:hAnsi="宋体" w:cs="宋体"/>
          <w:color w:val="auto"/>
          <w:highlight w:val="none"/>
        </w:rPr>
      </w:pPr>
      <w:bookmarkStart w:id="158" w:name="_Toc447827049"/>
      <w:bookmarkStart w:id="159" w:name="_Toc152042574"/>
      <w:bookmarkStart w:id="160" w:name="_Toc179632804"/>
      <w:bookmarkStart w:id="161" w:name="_Toc2000411"/>
      <w:bookmarkStart w:id="162" w:name="_Toc246996353"/>
      <w:bookmarkStart w:id="163" w:name="_Toc513633964"/>
      <w:bookmarkStart w:id="164" w:name="_Toc144974854"/>
      <w:bookmarkStart w:id="165" w:name="_Toc152045785"/>
      <w:bookmarkStart w:id="166" w:name="_Toc514858707"/>
      <w:bookmarkStart w:id="167" w:name="_Toc246997096"/>
      <w:bookmarkStart w:id="168" w:name="_Toc247085870"/>
      <w:bookmarkStart w:id="169" w:name="_Toc503951043"/>
      <w:bookmarkStart w:id="170" w:name="_Toc9925"/>
      <w:bookmarkStart w:id="171" w:name="_Toc15010"/>
      <w:bookmarkStart w:id="172" w:name="_Toc246997097"/>
      <w:bookmarkStart w:id="173" w:name="_Toc144974855"/>
      <w:bookmarkStart w:id="174" w:name="_Toc246996354"/>
      <w:bookmarkStart w:id="175" w:name="_Toc152042575"/>
      <w:bookmarkStart w:id="176" w:name="_Toc179632806"/>
      <w:bookmarkStart w:id="177" w:name="_Toc152045786"/>
      <w:bookmarkStart w:id="178" w:name="_Toc247085872"/>
      <w:r>
        <w:rPr>
          <w:rFonts w:hint="eastAsia" w:ascii="宋体" w:hAnsi="宋体" w:cs="宋体"/>
          <w:color w:val="auto"/>
          <w:highlight w:val="none"/>
        </w:rPr>
        <w:t xml:space="preserve">第四章  </w:t>
      </w:r>
      <w:bookmarkEnd w:id="158"/>
      <w:bookmarkEnd w:id="159"/>
      <w:bookmarkEnd w:id="160"/>
      <w:bookmarkEnd w:id="161"/>
      <w:bookmarkEnd w:id="162"/>
      <w:bookmarkEnd w:id="163"/>
      <w:bookmarkEnd w:id="164"/>
      <w:bookmarkEnd w:id="165"/>
      <w:bookmarkEnd w:id="166"/>
      <w:bookmarkEnd w:id="167"/>
      <w:bookmarkEnd w:id="168"/>
      <w:bookmarkEnd w:id="169"/>
      <w:r>
        <w:rPr>
          <w:rFonts w:hint="eastAsia" w:ascii="宋体" w:hAnsi="宋体" w:cs="宋体"/>
          <w:color w:val="auto"/>
          <w:highlight w:val="none"/>
        </w:rPr>
        <w:t>服务要求</w:t>
      </w:r>
      <w:bookmarkEnd w:id="170"/>
      <w:bookmarkEnd w:id="171"/>
    </w:p>
    <w:p w14:paraId="71FFB93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1"/>
        <w:rPr>
          <w:rFonts w:hint="eastAsia" w:ascii="宋体" w:hAnsi="宋体" w:eastAsia="宋体" w:cs="宋体"/>
          <w:b/>
          <w:color w:val="auto"/>
          <w:sz w:val="21"/>
          <w:szCs w:val="21"/>
          <w:highlight w:val="none"/>
        </w:rPr>
      </w:pPr>
      <w:bookmarkStart w:id="179" w:name="heading_1"/>
      <w:r>
        <w:rPr>
          <w:rFonts w:hint="eastAsia" w:ascii="宋体" w:hAnsi="宋体" w:cs="宋体"/>
          <w:b/>
          <w:color w:val="auto"/>
          <w:sz w:val="21"/>
          <w:szCs w:val="21"/>
          <w:highlight w:val="none"/>
          <w:lang w:val="en-US" w:eastAsia="zh-CN"/>
        </w:rPr>
        <w:t>一</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采购服务内容与里程碑划分</w:t>
      </w:r>
      <w:bookmarkEnd w:id="179"/>
    </w:p>
    <w:bookmarkEnd w:id="172"/>
    <w:bookmarkEnd w:id="173"/>
    <w:bookmarkEnd w:id="174"/>
    <w:bookmarkEnd w:id="175"/>
    <w:bookmarkEnd w:id="176"/>
    <w:bookmarkEnd w:id="177"/>
    <w:bookmarkEnd w:id="178"/>
    <w:tbl>
      <w:tblPr>
        <w:tblStyle w:val="43"/>
        <w:tblW w:w="9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94"/>
        <w:gridCol w:w="997"/>
        <w:gridCol w:w="737"/>
        <w:gridCol w:w="688"/>
        <w:gridCol w:w="987"/>
        <w:gridCol w:w="5050"/>
      </w:tblGrid>
      <w:tr w14:paraId="0367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 w:hRule="atLeast"/>
          <w:tblHeader/>
          <w:jc w:val="center"/>
        </w:trPr>
        <w:tc>
          <w:tcPr>
            <w:tcW w:w="694" w:type="dxa"/>
            <w:vMerge w:val="restart"/>
            <w:shd w:val="clear" w:color="auto" w:fill="auto"/>
            <w:noWrap/>
            <w:vAlign w:val="center"/>
          </w:tcPr>
          <w:p w14:paraId="0735E1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bookmarkStart w:id="180" w:name="_Toc514858708"/>
            <w:bookmarkStart w:id="181" w:name="_Toc514430114"/>
            <w:bookmarkStart w:id="182" w:name="_Toc2000412"/>
            <w:bookmarkStart w:id="183" w:name="_Toc152045787"/>
            <w:bookmarkStart w:id="184" w:name="_Toc152042576"/>
            <w:bookmarkStart w:id="185" w:name="_Toc246996355"/>
            <w:bookmarkStart w:id="186" w:name="_Toc247085873"/>
            <w:bookmarkStart w:id="187" w:name="_Toc144974856"/>
            <w:bookmarkStart w:id="188" w:name="_Toc179632807"/>
            <w:bookmarkStart w:id="189" w:name="_Toc246997098"/>
            <w:bookmarkStart w:id="190" w:name="_Toc507320039"/>
            <w:r>
              <w:rPr>
                <w:rFonts w:hint="eastAsia" w:ascii="宋体" w:hAnsi="宋体" w:eastAsia="宋体" w:cs="宋体"/>
                <w:b/>
                <w:bCs/>
                <w:i w:val="0"/>
                <w:iCs w:val="0"/>
                <w:color w:val="auto"/>
                <w:kern w:val="0"/>
                <w:sz w:val="18"/>
                <w:szCs w:val="18"/>
                <w:highlight w:val="none"/>
                <w:u w:val="none"/>
                <w:lang w:val="en-US" w:eastAsia="zh-CN" w:bidi="ar"/>
              </w:rPr>
              <w:t>序号</w:t>
            </w:r>
          </w:p>
        </w:tc>
        <w:tc>
          <w:tcPr>
            <w:tcW w:w="997" w:type="dxa"/>
            <w:vMerge w:val="restart"/>
            <w:shd w:val="clear" w:color="auto" w:fill="auto"/>
            <w:noWrap/>
            <w:vAlign w:val="center"/>
          </w:tcPr>
          <w:p w14:paraId="5AF143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工作内容</w:t>
            </w:r>
          </w:p>
        </w:tc>
        <w:tc>
          <w:tcPr>
            <w:tcW w:w="737" w:type="dxa"/>
            <w:vMerge w:val="restart"/>
            <w:shd w:val="clear" w:color="auto" w:fill="auto"/>
            <w:noWrap/>
            <w:vAlign w:val="center"/>
          </w:tcPr>
          <w:p w14:paraId="3EADD2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模块分类</w:t>
            </w:r>
          </w:p>
        </w:tc>
        <w:tc>
          <w:tcPr>
            <w:tcW w:w="688" w:type="dxa"/>
            <w:vMerge w:val="restart"/>
            <w:shd w:val="clear" w:color="auto" w:fill="auto"/>
            <w:noWrap/>
            <w:vAlign w:val="center"/>
          </w:tcPr>
          <w:p w14:paraId="17AC1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功能模块</w:t>
            </w:r>
          </w:p>
        </w:tc>
        <w:tc>
          <w:tcPr>
            <w:tcW w:w="987" w:type="dxa"/>
            <w:vMerge w:val="restart"/>
            <w:shd w:val="clear" w:color="auto" w:fill="auto"/>
            <w:noWrap/>
            <w:vAlign w:val="center"/>
          </w:tcPr>
          <w:p w14:paraId="00B183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功能点</w:t>
            </w:r>
          </w:p>
        </w:tc>
        <w:tc>
          <w:tcPr>
            <w:tcW w:w="5050" w:type="dxa"/>
            <w:vMerge w:val="restart"/>
            <w:shd w:val="clear" w:color="auto" w:fill="auto"/>
            <w:noWrap/>
            <w:vAlign w:val="center"/>
          </w:tcPr>
          <w:p w14:paraId="029A8B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描述</w:t>
            </w:r>
          </w:p>
        </w:tc>
      </w:tr>
      <w:tr w14:paraId="0156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blHeader/>
          <w:jc w:val="center"/>
        </w:trPr>
        <w:tc>
          <w:tcPr>
            <w:tcW w:w="694" w:type="dxa"/>
            <w:vMerge w:val="continue"/>
            <w:shd w:val="clear" w:color="auto" w:fill="auto"/>
            <w:noWrap/>
            <w:vAlign w:val="center"/>
          </w:tcPr>
          <w:p w14:paraId="3A6E376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c>
          <w:tcPr>
            <w:tcW w:w="997" w:type="dxa"/>
            <w:vMerge w:val="continue"/>
            <w:shd w:val="clear" w:color="auto" w:fill="auto"/>
            <w:noWrap/>
            <w:vAlign w:val="center"/>
          </w:tcPr>
          <w:p w14:paraId="1EADE0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c>
          <w:tcPr>
            <w:tcW w:w="737" w:type="dxa"/>
            <w:vMerge w:val="continue"/>
            <w:shd w:val="clear" w:color="auto" w:fill="auto"/>
            <w:noWrap/>
            <w:vAlign w:val="center"/>
          </w:tcPr>
          <w:p w14:paraId="1A5022B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c>
          <w:tcPr>
            <w:tcW w:w="688" w:type="dxa"/>
            <w:vMerge w:val="continue"/>
            <w:shd w:val="clear" w:color="auto" w:fill="auto"/>
            <w:noWrap/>
            <w:vAlign w:val="center"/>
          </w:tcPr>
          <w:p w14:paraId="71FE813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c>
          <w:tcPr>
            <w:tcW w:w="987" w:type="dxa"/>
            <w:vMerge w:val="continue"/>
            <w:shd w:val="clear" w:color="auto" w:fill="auto"/>
            <w:noWrap/>
            <w:vAlign w:val="center"/>
          </w:tcPr>
          <w:p w14:paraId="4A1C0F5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c>
          <w:tcPr>
            <w:tcW w:w="5050" w:type="dxa"/>
            <w:vMerge w:val="continue"/>
            <w:shd w:val="clear" w:color="auto" w:fill="auto"/>
            <w:noWrap/>
            <w:vAlign w:val="center"/>
          </w:tcPr>
          <w:p w14:paraId="3D13270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auto"/>
                <w:sz w:val="18"/>
                <w:szCs w:val="18"/>
                <w:highlight w:val="none"/>
                <w:u w:val="none"/>
              </w:rPr>
            </w:pPr>
          </w:p>
        </w:tc>
      </w:tr>
      <w:tr w14:paraId="61AB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694" w:type="dxa"/>
            <w:shd w:val="clear" w:color="auto" w:fill="auto"/>
            <w:noWrap/>
            <w:vAlign w:val="center"/>
          </w:tcPr>
          <w:p w14:paraId="70D357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97" w:type="dxa"/>
            <w:shd w:val="clear" w:color="auto" w:fill="auto"/>
            <w:vAlign w:val="center"/>
          </w:tcPr>
          <w:p w14:paraId="44716B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里程碑1：重庆奉溪高速公路42公里、绕城高速10公里两</w:t>
            </w:r>
            <w:r>
              <w:rPr>
                <w:rFonts w:hint="eastAsia" w:ascii="宋体" w:hAnsi="宋体" w:cs="宋体"/>
                <w:i w:val="0"/>
                <w:iCs w:val="0"/>
                <w:color w:val="auto"/>
                <w:kern w:val="0"/>
                <w:sz w:val="18"/>
                <w:szCs w:val="18"/>
                <w:highlight w:val="none"/>
                <w:u w:val="none"/>
                <w:lang w:val="en-US" w:eastAsia="zh-CN" w:bidi="ar"/>
              </w:rPr>
              <w:t>段</w:t>
            </w:r>
            <w:r>
              <w:rPr>
                <w:rFonts w:hint="eastAsia" w:ascii="宋体" w:hAnsi="宋体" w:eastAsia="宋体" w:cs="宋体"/>
                <w:i w:val="0"/>
                <w:iCs w:val="0"/>
                <w:color w:val="auto"/>
                <w:kern w:val="0"/>
                <w:sz w:val="18"/>
                <w:szCs w:val="18"/>
                <w:highlight w:val="none"/>
                <w:u w:val="none"/>
                <w:lang w:val="en-US" w:eastAsia="zh-CN" w:bidi="ar"/>
              </w:rPr>
              <w:t>路的SAR数据及光学遥感影像数据获取</w:t>
            </w:r>
          </w:p>
        </w:tc>
        <w:tc>
          <w:tcPr>
            <w:tcW w:w="737" w:type="dxa"/>
            <w:shd w:val="clear" w:color="auto" w:fill="auto"/>
            <w:vAlign w:val="center"/>
          </w:tcPr>
          <w:p w14:paraId="29C3A0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数据服务</w:t>
            </w:r>
          </w:p>
        </w:tc>
        <w:tc>
          <w:tcPr>
            <w:tcW w:w="6725" w:type="dxa"/>
            <w:gridSpan w:val="3"/>
            <w:shd w:val="clear" w:color="auto" w:fill="auto"/>
            <w:vAlign w:val="center"/>
          </w:tcPr>
          <w:p w14:paraId="6EF4FF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1、DEM数据1次：“.tiff”格式栅格数据。InSAR处理时，DEM用于模拟并剥离地形引起的相位贡献，从而提取出地表形变信息。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2、奉溪高速（42公里）L波段SAR数据46景：SLC单视复数数据。采用 L波段SAR数据，分辨率3米。时间序列为2023年8月~2026年12月，其中2026年6、7、8月汛期2次/月，共计46景，如因拍摄原因2026年12月未达到46景，则顺延，直至46景交付。</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3、奉溪高速（42公里）光学遥感影像：“.tiff”格式栅格数据。0.5m编程数据，L5级正射产品。</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4、绕城高速（10公里）光学遥感影像1期、C波段SAR数据56景。</w:t>
            </w:r>
          </w:p>
        </w:tc>
      </w:tr>
      <w:tr w14:paraId="7095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586B1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2</w:t>
            </w:r>
          </w:p>
        </w:tc>
        <w:tc>
          <w:tcPr>
            <w:tcW w:w="997" w:type="dxa"/>
            <w:vMerge w:val="restart"/>
            <w:shd w:val="clear" w:color="auto" w:fill="auto"/>
            <w:vAlign w:val="center"/>
          </w:tcPr>
          <w:p w14:paraId="5CE548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里程碑2：重庆奉溪高速公路42公里、绕城高速10公里两</w:t>
            </w:r>
            <w:r>
              <w:rPr>
                <w:rFonts w:hint="eastAsia" w:ascii="宋体" w:hAnsi="宋体" w:cs="宋体"/>
                <w:i w:val="0"/>
                <w:iCs w:val="0"/>
                <w:color w:val="auto"/>
                <w:kern w:val="0"/>
                <w:sz w:val="18"/>
                <w:szCs w:val="18"/>
                <w:highlight w:val="none"/>
                <w:u w:val="none"/>
                <w:lang w:val="en-US" w:eastAsia="zh-CN" w:bidi="ar"/>
              </w:rPr>
              <w:t>段</w:t>
            </w:r>
            <w:r>
              <w:rPr>
                <w:rFonts w:hint="eastAsia" w:ascii="宋体" w:hAnsi="宋体" w:eastAsia="宋体" w:cs="宋体"/>
                <w:i w:val="0"/>
                <w:iCs w:val="0"/>
                <w:color w:val="auto"/>
                <w:kern w:val="0"/>
                <w:sz w:val="18"/>
                <w:szCs w:val="18"/>
                <w:highlight w:val="none"/>
                <w:u w:val="none"/>
                <w:lang w:val="en-US" w:eastAsia="zh-CN" w:bidi="ar"/>
              </w:rPr>
              <w:t>路的SAR数据及光学遥感影像数据处理及分析</w:t>
            </w:r>
          </w:p>
        </w:tc>
        <w:tc>
          <w:tcPr>
            <w:tcW w:w="737" w:type="dxa"/>
            <w:vMerge w:val="restart"/>
            <w:shd w:val="clear" w:color="auto" w:fill="auto"/>
            <w:vAlign w:val="center"/>
          </w:tcPr>
          <w:p w14:paraId="701DBA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数据服务</w:t>
            </w:r>
          </w:p>
        </w:tc>
        <w:tc>
          <w:tcPr>
            <w:tcW w:w="688" w:type="dxa"/>
            <w:vMerge w:val="restart"/>
            <w:shd w:val="clear" w:color="auto" w:fill="auto"/>
            <w:vAlign w:val="center"/>
          </w:tcPr>
          <w:p w14:paraId="21004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数据处理及分析</w:t>
            </w:r>
          </w:p>
        </w:tc>
        <w:tc>
          <w:tcPr>
            <w:tcW w:w="987" w:type="dxa"/>
            <w:shd w:val="clear" w:color="auto" w:fill="auto"/>
            <w:vAlign w:val="center"/>
          </w:tcPr>
          <w:p w14:paraId="2F88B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高速公路结构物提取</w:t>
            </w:r>
          </w:p>
        </w:tc>
        <w:tc>
          <w:tcPr>
            <w:tcW w:w="5050" w:type="dxa"/>
            <w:shd w:val="clear" w:color="auto" w:fill="auto"/>
            <w:vAlign w:val="center"/>
          </w:tcPr>
          <w:p w14:paraId="373186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“.shp”等格式矢量数据。基于高分辨率遥感影像，对</w:t>
            </w:r>
            <w:r>
              <w:rPr>
                <w:rFonts w:hint="eastAsia" w:ascii="宋体" w:hAnsi="宋体" w:cs="宋体"/>
                <w:i w:val="0"/>
                <w:iCs w:val="0"/>
                <w:color w:val="auto"/>
                <w:kern w:val="0"/>
                <w:sz w:val="18"/>
                <w:szCs w:val="18"/>
                <w:highlight w:val="none"/>
                <w:u w:val="none"/>
                <w:lang w:val="en-US" w:eastAsia="zh-CN" w:bidi="ar"/>
              </w:rPr>
              <w:t>高速</w:t>
            </w:r>
            <w:r>
              <w:rPr>
                <w:rFonts w:hint="eastAsia" w:ascii="宋体" w:hAnsi="宋体" w:eastAsia="宋体" w:cs="宋体"/>
                <w:i w:val="0"/>
                <w:iCs w:val="0"/>
                <w:color w:val="auto"/>
                <w:kern w:val="0"/>
                <w:sz w:val="18"/>
                <w:szCs w:val="18"/>
                <w:highlight w:val="none"/>
                <w:u w:val="none"/>
                <w:lang w:val="en-US" w:eastAsia="zh-CN" w:bidi="ar"/>
              </w:rPr>
              <w:t>公路沿线结构物进行提取，区分道路、桥梁、隧道进出口及边坡，并基于起始里程桩，开展百米桩定点划段。</w:t>
            </w:r>
          </w:p>
        </w:tc>
      </w:tr>
      <w:tr w14:paraId="07EF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E526F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3</w:t>
            </w:r>
          </w:p>
        </w:tc>
        <w:tc>
          <w:tcPr>
            <w:tcW w:w="997" w:type="dxa"/>
            <w:vMerge w:val="continue"/>
            <w:shd w:val="clear" w:color="auto" w:fill="auto"/>
            <w:vAlign w:val="center"/>
          </w:tcPr>
          <w:p w14:paraId="26D3071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E70D9D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160D20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5FF04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L波段SAR数据InSAR数据处理</w:t>
            </w:r>
          </w:p>
        </w:tc>
        <w:tc>
          <w:tcPr>
            <w:tcW w:w="5050" w:type="dxa"/>
            <w:shd w:val="clear" w:color="auto" w:fill="auto"/>
            <w:vAlign w:val="center"/>
          </w:tcPr>
          <w:p w14:paraId="44678E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“.shp”等格式矢量数据。采用最优InSAR处理方法处理</w:t>
            </w:r>
            <w:r>
              <w:rPr>
                <w:rFonts w:hint="eastAsia" w:ascii="宋体" w:hAnsi="宋体" w:cs="宋体"/>
                <w:i w:val="0"/>
                <w:iCs w:val="0"/>
                <w:color w:val="auto"/>
                <w:kern w:val="0"/>
                <w:sz w:val="18"/>
                <w:szCs w:val="18"/>
                <w:highlight w:val="none"/>
                <w:u w:val="none"/>
                <w:lang w:val="en-US" w:eastAsia="zh-CN" w:bidi="ar"/>
              </w:rPr>
              <w:t>46</w:t>
            </w:r>
            <w:r>
              <w:rPr>
                <w:rFonts w:hint="eastAsia" w:ascii="宋体" w:hAnsi="宋体" w:eastAsia="宋体" w:cs="宋体"/>
                <w:i w:val="0"/>
                <w:iCs w:val="0"/>
                <w:color w:val="auto"/>
                <w:kern w:val="0"/>
                <w:sz w:val="18"/>
                <w:szCs w:val="18"/>
                <w:highlight w:val="none"/>
                <w:u w:val="none"/>
                <w:lang w:val="en-US" w:eastAsia="zh-CN" w:bidi="ar"/>
              </w:rPr>
              <w:t>景SAR数据。本次以道路中心线两侧半径500m为缓冲区为处理分析范围，处理分析面积为42km*1km=42km²。</w:t>
            </w:r>
          </w:p>
        </w:tc>
      </w:tr>
      <w:tr w14:paraId="6374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73553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4</w:t>
            </w:r>
          </w:p>
        </w:tc>
        <w:tc>
          <w:tcPr>
            <w:tcW w:w="997" w:type="dxa"/>
            <w:vMerge w:val="restart"/>
            <w:shd w:val="clear" w:color="auto" w:fill="auto"/>
            <w:vAlign w:val="center"/>
          </w:tcPr>
          <w:p w14:paraId="3DCEFF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里程碑3：高速公路结构物隐患靶区智能识别模型技术开发服务</w:t>
            </w:r>
          </w:p>
        </w:tc>
        <w:tc>
          <w:tcPr>
            <w:tcW w:w="737" w:type="dxa"/>
            <w:vMerge w:val="restart"/>
            <w:shd w:val="clear" w:color="auto" w:fill="auto"/>
            <w:vAlign w:val="center"/>
          </w:tcPr>
          <w:p w14:paraId="4D0A60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隐患早期识别模块</w:t>
            </w:r>
          </w:p>
        </w:tc>
        <w:tc>
          <w:tcPr>
            <w:tcW w:w="688" w:type="dxa"/>
            <w:vMerge w:val="restart"/>
            <w:shd w:val="clear" w:color="auto" w:fill="auto"/>
            <w:vAlign w:val="center"/>
          </w:tcPr>
          <w:p w14:paraId="7380A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地灾早期识别</w:t>
            </w:r>
          </w:p>
        </w:tc>
        <w:tc>
          <w:tcPr>
            <w:tcW w:w="987" w:type="dxa"/>
            <w:shd w:val="clear" w:color="auto" w:fill="auto"/>
            <w:vAlign w:val="center"/>
          </w:tcPr>
          <w:p w14:paraId="751EDA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InSAR数据选择</w:t>
            </w:r>
          </w:p>
        </w:tc>
        <w:tc>
          <w:tcPr>
            <w:tcW w:w="5050" w:type="dxa"/>
            <w:shd w:val="clear" w:color="auto" w:fill="auto"/>
            <w:vAlign w:val="center"/>
          </w:tcPr>
          <w:p w14:paraId="2A58FA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支持选择指定周期的InSAR数据，进行历史数据回溯与分析，或创建新的隐患识别任务</w:t>
            </w:r>
          </w:p>
        </w:tc>
      </w:tr>
      <w:tr w14:paraId="5831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36D2B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5</w:t>
            </w:r>
          </w:p>
        </w:tc>
        <w:tc>
          <w:tcPr>
            <w:tcW w:w="997" w:type="dxa"/>
            <w:vMerge w:val="continue"/>
            <w:shd w:val="clear" w:color="auto" w:fill="auto"/>
            <w:vAlign w:val="center"/>
          </w:tcPr>
          <w:p w14:paraId="0BDBB5F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52FE79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ED6A25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2EB1F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识别模型配置</w:t>
            </w:r>
          </w:p>
        </w:tc>
        <w:tc>
          <w:tcPr>
            <w:tcW w:w="5050" w:type="dxa"/>
            <w:shd w:val="clear" w:color="auto" w:fill="auto"/>
            <w:vAlign w:val="center"/>
          </w:tcPr>
          <w:p w14:paraId="6E4646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支持自定义识别因子值（例如InSAR点数据栅格化像元大小、InSAR点数据栅格化像元大小、热点分析邻域半径、最小形变速率阈值、最终异常区最小面积、空间衰减分数阈值、高斯平滑系数等）</w:t>
            </w:r>
          </w:p>
        </w:tc>
      </w:tr>
      <w:tr w14:paraId="7FD9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30CFA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6</w:t>
            </w:r>
          </w:p>
        </w:tc>
        <w:tc>
          <w:tcPr>
            <w:tcW w:w="997" w:type="dxa"/>
            <w:vMerge w:val="continue"/>
            <w:shd w:val="clear" w:color="auto" w:fill="auto"/>
            <w:vAlign w:val="center"/>
          </w:tcPr>
          <w:p w14:paraId="1E70A0E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43575D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E24170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FBA01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自动隐患识别</w:t>
            </w:r>
          </w:p>
        </w:tc>
        <w:tc>
          <w:tcPr>
            <w:tcW w:w="5050" w:type="dxa"/>
            <w:shd w:val="clear" w:color="auto" w:fill="auto"/>
            <w:vAlign w:val="center"/>
          </w:tcPr>
          <w:p w14:paraId="6C250B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一键触发模型运算，基于配置参数自动提取疑似隐患靶区</w:t>
            </w:r>
          </w:p>
        </w:tc>
      </w:tr>
      <w:tr w14:paraId="5433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C59AB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7</w:t>
            </w:r>
          </w:p>
        </w:tc>
        <w:tc>
          <w:tcPr>
            <w:tcW w:w="997" w:type="dxa"/>
            <w:vMerge w:val="continue"/>
            <w:shd w:val="clear" w:color="auto" w:fill="auto"/>
            <w:vAlign w:val="center"/>
          </w:tcPr>
          <w:p w14:paraId="37558A3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083ED2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16170F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成果校验</w:t>
            </w:r>
          </w:p>
        </w:tc>
        <w:tc>
          <w:tcPr>
            <w:tcW w:w="987" w:type="dxa"/>
            <w:shd w:val="clear" w:color="auto" w:fill="auto"/>
            <w:vAlign w:val="center"/>
          </w:tcPr>
          <w:p w14:paraId="46C1EB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变化分析</w:t>
            </w:r>
          </w:p>
        </w:tc>
        <w:tc>
          <w:tcPr>
            <w:tcW w:w="5050" w:type="dxa"/>
            <w:shd w:val="clear" w:color="auto" w:fill="auto"/>
            <w:vAlign w:val="center"/>
          </w:tcPr>
          <w:p w14:paraId="43C8A7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支持对比同一周期不同参数计算成果的隐患点，展示相对上一期的变化（新增，加剧，减轻，稳定等），支持人工调整</w:t>
            </w:r>
          </w:p>
        </w:tc>
      </w:tr>
      <w:tr w14:paraId="1360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DBC1A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997" w:type="dxa"/>
            <w:vMerge w:val="continue"/>
            <w:shd w:val="clear" w:color="auto" w:fill="auto"/>
            <w:vAlign w:val="center"/>
          </w:tcPr>
          <w:p w14:paraId="5DC6616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7F0B31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A70174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F5F37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成果发布</w:t>
            </w:r>
          </w:p>
        </w:tc>
        <w:tc>
          <w:tcPr>
            <w:tcW w:w="5050" w:type="dxa"/>
            <w:shd w:val="clear" w:color="auto" w:fill="auto"/>
            <w:vAlign w:val="center"/>
          </w:tcPr>
          <w:p w14:paraId="5B2AF0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调整并选择最准确的识别任务成果集，发布为正式成果</w:t>
            </w:r>
          </w:p>
        </w:tc>
      </w:tr>
      <w:tr w14:paraId="2587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1CB38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997" w:type="dxa"/>
            <w:vMerge w:val="continue"/>
            <w:shd w:val="clear" w:color="auto" w:fill="auto"/>
            <w:vAlign w:val="center"/>
          </w:tcPr>
          <w:p w14:paraId="57E41CA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E4B21E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3024B1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活动性评估</w:t>
            </w:r>
          </w:p>
        </w:tc>
        <w:tc>
          <w:tcPr>
            <w:tcW w:w="987" w:type="dxa"/>
            <w:shd w:val="clear" w:color="auto" w:fill="auto"/>
            <w:vAlign w:val="center"/>
          </w:tcPr>
          <w:p w14:paraId="78941A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数据与模型配置</w:t>
            </w:r>
          </w:p>
        </w:tc>
        <w:tc>
          <w:tcPr>
            <w:tcW w:w="5050" w:type="dxa"/>
            <w:shd w:val="clear" w:color="auto" w:fill="auto"/>
            <w:vAlign w:val="center"/>
          </w:tcPr>
          <w:p w14:paraId="6F61BF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选择InSAR数据、评估模型，配置不同风险等级（高/</w:t>
            </w:r>
            <w:r>
              <w:rPr>
                <w:rFonts w:hint="eastAsia" w:ascii="宋体" w:hAnsi="宋体" w:cs="宋体"/>
                <w:i w:val="0"/>
                <w:iCs w:val="0"/>
                <w:color w:val="auto"/>
                <w:kern w:val="0"/>
                <w:sz w:val="18"/>
                <w:szCs w:val="18"/>
                <w:highlight w:val="none"/>
                <w:u w:val="none"/>
                <w:lang w:val="en-US" w:eastAsia="zh-CN" w:bidi="ar"/>
              </w:rPr>
              <w:t>较</w:t>
            </w:r>
            <w:r>
              <w:rPr>
                <w:rFonts w:hint="eastAsia" w:ascii="宋体" w:hAnsi="宋体" w:eastAsia="宋体" w:cs="宋体"/>
                <w:i w:val="0"/>
                <w:iCs w:val="0"/>
                <w:color w:val="auto"/>
                <w:kern w:val="0"/>
                <w:sz w:val="18"/>
                <w:szCs w:val="18"/>
                <w:highlight w:val="none"/>
                <w:u w:val="none"/>
                <w:lang w:val="en-US" w:eastAsia="zh-CN" w:bidi="ar"/>
              </w:rPr>
              <w:t>高/中/低）的形变速度阈值</w:t>
            </w:r>
          </w:p>
        </w:tc>
      </w:tr>
      <w:tr w14:paraId="5FC1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B579B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0</w:t>
            </w:r>
          </w:p>
        </w:tc>
        <w:tc>
          <w:tcPr>
            <w:tcW w:w="997" w:type="dxa"/>
            <w:vMerge w:val="continue"/>
            <w:shd w:val="clear" w:color="auto" w:fill="auto"/>
            <w:vAlign w:val="center"/>
          </w:tcPr>
          <w:p w14:paraId="0A45B56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BE11BB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A7AF13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5D06A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多因子评估配置</w:t>
            </w:r>
          </w:p>
        </w:tc>
        <w:tc>
          <w:tcPr>
            <w:tcW w:w="5050" w:type="dxa"/>
            <w:shd w:val="clear" w:color="auto" w:fill="auto"/>
            <w:vAlign w:val="center"/>
          </w:tcPr>
          <w:p w14:paraId="515390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勾选地形类（坡度、坡向、地形地貌等）、地质类（地层岩性、斜坡结构等）、环境类（植被覆盖度、距水系距离）评估因子</w:t>
            </w:r>
          </w:p>
        </w:tc>
      </w:tr>
      <w:tr w14:paraId="4B09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21CFD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1</w:t>
            </w:r>
          </w:p>
        </w:tc>
        <w:tc>
          <w:tcPr>
            <w:tcW w:w="997" w:type="dxa"/>
            <w:vMerge w:val="continue"/>
            <w:shd w:val="clear" w:color="auto" w:fill="auto"/>
            <w:vAlign w:val="center"/>
          </w:tcPr>
          <w:p w14:paraId="365B5E6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65182D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A9F0D1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161C5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一键计算与结果展示</w:t>
            </w:r>
          </w:p>
        </w:tc>
        <w:tc>
          <w:tcPr>
            <w:tcW w:w="5050" w:type="dxa"/>
            <w:shd w:val="clear" w:color="auto" w:fill="auto"/>
            <w:vAlign w:val="center"/>
          </w:tcPr>
          <w:p w14:paraId="108D4E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自动完成活动性评估，输出风险等级（如高），并记录计算时间、时长，支持重新计算</w:t>
            </w:r>
          </w:p>
        </w:tc>
      </w:tr>
      <w:tr w14:paraId="4E5C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BE7CA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2</w:t>
            </w:r>
          </w:p>
        </w:tc>
        <w:tc>
          <w:tcPr>
            <w:tcW w:w="997" w:type="dxa"/>
            <w:vMerge w:val="continue"/>
            <w:shd w:val="clear" w:color="auto" w:fill="auto"/>
            <w:vAlign w:val="center"/>
          </w:tcPr>
          <w:p w14:paraId="39431AF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B74D76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064832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危害性评估</w:t>
            </w:r>
          </w:p>
        </w:tc>
        <w:tc>
          <w:tcPr>
            <w:tcW w:w="987" w:type="dxa"/>
            <w:shd w:val="clear" w:color="auto" w:fill="auto"/>
            <w:vAlign w:val="center"/>
          </w:tcPr>
          <w:p w14:paraId="46DBE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影响因子配置</w:t>
            </w:r>
          </w:p>
        </w:tc>
        <w:tc>
          <w:tcPr>
            <w:tcW w:w="5050" w:type="dxa"/>
            <w:shd w:val="clear" w:color="auto" w:fill="auto"/>
            <w:vAlign w:val="center"/>
          </w:tcPr>
          <w:p w14:paraId="54E771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配置城镇、交通道路、大江大河、矿山等承灾体的危害等级（高/中/低）</w:t>
            </w:r>
          </w:p>
        </w:tc>
      </w:tr>
      <w:tr w14:paraId="4902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C01A6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3</w:t>
            </w:r>
          </w:p>
        </w:tc>
        <w:tc>
          <w:tcPr>
            <w:tcW w:w="997" w:type="dxa"/>
            <w:vMerge w:val="continue"/>
            <w:shd w:val="clear" w:color="auto" w:fill="auto"/>
            <w:vAlign w:val="center"/>
          </w:tcPr>
          <w:p w14:paraId="3D709FD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43F118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EE7BF6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4DAE54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AI自动识别</w:t>
            </w:r>
          </w:p>
        </w:tc>
        <w:tc>
          <w:tcPr>
            <w:tcW w:w="5050" w:type="dxa"/>
            <w:shd w:val="clear" w:color="auto" w:fill="auto"/>
            <w:vAlign w:val="center"/>
          </w:tcPr>
          <w:p w14:paraId="5A7B89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支持AI自动识别承灾体等级，辅助人工配置</w:t>
            </w:r>
          </w:p>
        </w:tc>
      </w:tr>
      <w:tr w14:paraId="4067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694" w:type="dxa"/>
            <w:shd w:val="clear" w:color="auto" w:fill="auto"/>
            <w:noWrap/>
            <w:vAlign w:val="center"/>
          </w:tcPr>
          <w:p w14:paraId="5FD427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4</w:t>
            </w:r>
          </w:p>
        </w:tc>
        <w:tc>
          <w:tcPr>
            <w:tcW w:w="997" w:type="dxa"/>
            <w:vMerge w:val="continue"/>
            <w:shd w:val="clear" w:color="auto" w:fill="auto"/>
            <w:vAlign w:val="center"/>
          </w:tcPr>
          <w:p w14:paraId="6486CF9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554620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802400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10DD33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一键计算与结果展示</w:t>
            </w:r>
          </w:p>
        </w:tc>
        <w:tc>
          <w:tcPr>
            <w:tcW w:w="5050" w:type="dxa"/>
            <w:shd w:val="clear" w:color="auto" w:fill="auto"/>
            <w:vAlign w:val="center"/>
          </w:tcPr>
          <w:p w14:paraId="74E6C4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输出不同维度的危害性等级（如高、中），支持重新计算</w:t>
            </w:r>
          </w:p>
        </w:tc>
      </w:tr>
      <w:tr w14:paraId="036C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94" w:type="dxa"/>
            <w:shd w:val="clear" w:color="auto" w:fill="auto"/>
            <w:noWrap/>
            <w:vAlign w:val="center"/>
          </w:tcPr>
          <w:p w14:paraId="3C98F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5</w:t>
            </w:r>
          </w:p>
        </w:tc>
        <w:tc>
          <w:tcPr>
            <w:tcW w:w="997" w:type="dxa"/>
            <w:vMerge w:val="continue"/>
            <w:shd w:val="clear" w:color="auto" w:fill="auto"/>
            <w:vAlign w:val="center"/>
          </w:tcPr>
          <w:p w14:paraId="55140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737" w:type="dxa"/>
            <w:vMerge w:val="continue"/>
            <w:shd w:val="clear" w:color="auto" w:fill="auto"/>
            <w:vAlign w:val="center"/>
          </w:tcPr>
          <w:p w14:paraId="24931D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688" w:type="dxa"/>
            <w:vMerge w:val="continue"/>
            <w:shd w:val="clear" w:color="auto" w:fill="auto"/>
            <w:vAlign w:val="center"/>
          </w:tcPr>
          <w:p w14:paraId="323F25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987" w:type="dxa"/>
            <w:shd w:val="clear" w:color="auto" w:fill="auto"/>
            <w:vAlign w:val="center"/>
          </w:tcPr>
          <w:p w14:paraId="52C568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批量风险等级调整</w:t>
            </w:r>
          </w:p>
        </w:tc>
        <w:tc>
          <w:tcPr>
            <w:tcW w:w="5050" w:type="dxa"/>
            <w:shd w:val="clear" w:color="auto" w:fill="auto"/>
            <w:vAlign w:val="center"/>
          </w:tcPr>
          <w:p w14:paraId="4FE8C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支持通过滑动或输入参数，批量调整风险等级</w:t>
            </w:r>
          </w:p>
        </w:tc>
      </w:tr>
      <w:tr w14:paraId="0343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7393C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6</w:t>
            </w:r>
          </w:p>
        </w:tc>
        <w:tc>
          <w:tcPr>
            <w:tcW w:w="997" w:type="dxa"/>
            <w:vMerge w:val="continue"/>
            <w:shd w:val="clear" w:color="auto" w:fill="auto"/>
            <w:vAlign w:val="center"/>
          </w:tcPr>
          <w:p w14:paraId="7E16C5D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7115B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10B5EE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风险性评估</w:t>
            </w:r>
          </w:p>
        </w:tc>
        <w:tc>
          <w:tcPr>
            <w:tcW w:w="987" w:type="dxa"/>
            <w:shd w:val="clear" w:color="auto" w:fill="auto"/>
            <w:vAlign w:val="center"/>
          </w:tcPr>
          <w:p w14:paraId="6B248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综合风险计算</w:t>
            </w:r>
          </w:p>
        </w:tc>
        <w:tc>
          <w:tcPr>
            <w:tcW w:w="5050" w:type="dxa"/>
            <w:shd w:val="clear" w:color="auto" w:fill="auto"/>
            <w:vAlign w:val="center"/>
          </w:tcPr>
          <w:p w14:paraId="3B53F4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输入靶区活动性、道路交通危害性、居民聚集区危害性等前置评估结果，调用模型计算综合风险等级</w:t>
            </w:r>
          </w:p>
        </w:tc>
      </w:tr>
      <w:tr w14:paraId="0228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EDC9D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7</w:t>
            </w:r>
          </w:p>
        </w:tc>
        <w:tc>
          <w:tcPr>
            <w:tcW w:w="997" w:type="dxa"/>
            <w:vMerge w:val="continue"/>
            <w:shd w:val="clear" w:color="auto" w:fill="auto"/>
            <w:vAlign w:val="center"/>
          </w:tcPr>
          <w:p w14:paraId="2B6959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A6ACD3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73FA1B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823FC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一键计算</w:t>
            </w:r>
          </w:p>
        </w:tc>
        <w:tc>
          <w:tcPr>
            <w:tcW w:w="5050" w:type="dxa"/>
            <w:shd w:val="clear" w:color="auto" w:fill="auto"/>
            <w:vAlign w:val="center"/>
          </w:tcPr>
          <w:p w14:paraId="24AEE2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基于配置参数完成最终风险性评估，形成完整风险结论</w:t>
            </w:r>
          </w:p>
        </w:tc>
      </w:tr>
      <w:tr w14:paraId="78D8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251B6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8</w:t>
            </w:r>
          </w:p>
        </w:tc>
        <w:tc>
          <w:tcPr>
            <w:tcW w:w="997" w:type="dxa"/>
            <w:vMerge w:val="restart"/>
            <w:shd w:val="clear" w:color="auto" w:fill="auto"/>
            <w:vAlign w:val="center"/>
          </w:tcPr>
          <w:p w14:paraId="24A70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里程碑4：高速公路保护线人为违法扰动监测模型技术开发服务</w:t>
            </w:r>
          </w:p>
        </w:tc>
        <w:tc>
          <w:tcPr>
            <w:tcW w:w="737" w:type="dxa"/>
            <w:vMerge w:val="restart"/>
            <w:shd w:val="clear" w:color="auto" w:fill="auto"/>
            <w:vAlign w:val="center"/>
          </w:tcPr>
          <w:p w14:paraId="1A5BFB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高速路人为扰动监测模块</w:t>
            </w:r>
          </w:p>
        </w:tc>
        <w:tc>
          <w:tcPr>
            <w:tcW w:w="688" w:type="dxa"/>
            <w:shd w:val="clear" w:color="auto" w:fill="auto"/>
            <w:vAlign w:val="center"/>
          </w:tcPr>
          <w:p w14:paraId="56AC92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影像数据管理</w:t>
            </w:r>
          </w:p>
        </w:tc>
        <w:tc>
          <w:tcPr>
            <w:tcW w:w="987" w:type="dxa"/>
            <w:shd w:val="clear" w:color="auto" w:fill="auto"/>
            <w:vAlign w:val="center"/>
          </w:tcPr>
          <w:p w14:paraId="5E14FE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高分辨率影像接入</w:t>
            </w:r>
          </w:p>
        </w:tc>
        <w:tc>
          <w:tcPr>
            <w:tcW w:w="5050" w:type="dxa"/>
            <w:shd w:val="clear" w:color="auto" w:fill="auto"/>
            <w:vAlign w:val="center"/>
          </w:tcPr>
          <w:p w14:paraId="154856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接入不同时间序列的高分辨率卫星/航空影像，支持选择对比时间（如 2026-01 vs2026-06）、监测路段</w:t>
            </w:r>
          </w:p>
        </w:tc>
      </w:tr>
      <w:tr w14:paraId="23D7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CE9B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9</w:t>
            </w:r>
          </w:p>
        </w:tc>
        <w:tc>
          <w:tcPr>
            <w:tcW w:w="997" w:type="dxa"/>
            <w:vMerge w:val="continue"/>
            <w:shd w:val="clear" w:color="auto" w:fill="auto"/>
            <w:vAlign w:val="center"/>
          </w:tcPr>
          <w:p w14:paraId="3970780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959E68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284D33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扰动识别与分析</w:t>
            </w:r>
          </w:p>
        </w:tc>
        <w:tc>
          <w:tcPr>
            <w:tcW w:w="987" w:type="dxa"/>
            <w:shd w:val="clear" w:color="auto" w:fill="auto"/>
            <w:vAlign w:val="center"/>
          </w:tcPr>
          <w:p w14:paraId="618751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自动扰动识别</w:t>
            </w:r>
          </w:p>
        </w:tc>
        <w:tc>
          <w:tcPr>
            <w:tcW w:w="5050" w:type="dxa"/>
            <w:shd w:val="clear" w:color="auto" w:fill="auto"/>
            <w:vAlign w:val="center"/>
          </w:tcPr>
          <w:p w14:paraId="609E8A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基于 AI 影像变化检测算法，自动识别高速路沿线的人为扰动区域，标记位置与边界</w:t>
            </w:r>
          </w:p>
        </w:tc>
      </w:tr>
      <w:tr w14:paraId="6F3E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F6D7C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0</w:t>
            </w:r>
          </w:p>
        </w:tc>
        <w:tc>
          <w:tcPr>
            <w:tcW w:w="997" w:type="dxa"/>
            <w:vMerge w:val="continue"/>
            <w:shd w:val="clear" w:color="auto" w:fill="auto"/>
            <w:vAlign w:val="center"/>
          </w:tcPr>
          <w:p w14:paraId="5712615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085FDC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D9240A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497A8A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扰动类型分类</w:t>
            </w:r>
          </w:p>
        </w:tc>
        <w:tc>
          <w:tcPr>
            <w:tcW w:w="5050" w:type="dxa"/>
            <w:shd w:val="clear" w:color="auto" w:fill="auto"/>
            <w:vAlign w:val="center"/>
          </w:tcPr>
          <w:p w14:paraId="25B7A4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对识别的扰动进行自动分类：如土方开挖、堆载、施工便道、临时建筑、弃土场等</w:t>
            </w:r>
          </w:p>
        </w:tc>
      </w:tr>
      <w:tr w14:paraId="4FF8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37E2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1</w:t>
            </w:r>
          </w:p>
        </w:tc>
        <w:tc>
          <w:tcPr>
            <w:tcW w:w="997" w:type="dxa"/>
            <w:vMerge w:val="continue"/>
            <w:shd w:val="clear" w:color="auto" w:fill="auto"/>
            <w:vAlign w:val="center"/>
          </w:tcPr>
          <w:p w14:paraId="0EDFFDD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027765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413E7A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B8CA8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扰动参数量化</w:t>
            </w:r>
          </w:p>
        </w:tc>
        <w:tc>
          <w:tcPr>
            <w:tcW w:w="5050" w:type="dxa"/>
            <w:shd w:val="clear" w:color="auto" w:fill="auto"/>
            <w:vAlign w:val="center"/>
          </w:tcPr>
          <w:p w14:paraId="7D2C16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自动计算扰动的发生时间（影像变化时间）、影响面积（㎡/km²）、扰动程度（低 / 中 / 高）</w:t>
            </w:r>
          </w:p>
        </w:tc>
      </w:tr>
      <w:tr w14:paraId="54A7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F60DB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2</w:t>
            </w:r>
          </w:p>
        </w:tc>
        <w:tc>
          <w:tcPr>
            <w:tcW w:w="997" w:type="dxa"/>
            <w:vMerge w:val="continue"/>
            <w:shd w:val="clear" w:color="auto" w:fill="auto"/>
            <w:vAlign w:val="center"/>
          </w:tcPr>
          <w:p w14:paraId="34AAFF3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0316E4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B3DFD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FCA3F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扰动趋势对比</w:t>
            </w:r>
          </w:p>
        </w:tc>
        <w:tc>
          <w:tcPr>
            <w:tcW w:w="5050" w:type="dxa"/>
            <w:shd w:val="clear" w:color="auto" w:fill="auto"/>
            <w:vAlign w:val="center"/>
          </w:tcPr>
          <w:p w14:paraId="529CD4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支持多期影像对比，展示同一区域扰动的变化过程（如持续扩大、已恢复）</w:t>
            </w:r>
          </w:p>
        </w:tc>
      </w:tr>
      <w:tr w14:paraId="60DD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68A9B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3</w:t>
            </w:r>
          </w:p>
        </w:tc>
        <w:tc>
          <w:tcPr>
            <w:tcW w:w="997" w:type="dxa"/>
            <w:vMerge w:val="continue"/>
            <w:shd w:val="clear" w:color="auto" w:fill="auto"/>
            <w:vAlign w:val="center"/>
          </w:tcPr>
          <w:p w14:paraId="7E163B8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8C5655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07D16A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结果展示与管理</w:t>
            </w:r>
          </w:p>
        </w:tc>
        <w:tc>
          <w:tcPr>
            <w:tcW w:w="987" w:type="dxa"/>
            <w:shd w:val="clear" w:color="auto" w:fill="auto"/>
            <w:vAlign w:val="center"/>
          </w:tcPr>
          <w:p w14:paraId="2001ED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扰动结果可视化</w:t>
            </w:r>
          </w:p>
        </w:tc>
        <w:tc>
          <w:tcPr>
            <w:tcW w:w="5050" w:type="dxa"/>
            <w:shd w:val="clear" w:color="auto" w:fill="auto"/>
            <w:vAlign w:val="center"/>
          </w:tcPr>
          <w:p w14:paraId="7480D8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在三维地图上叠加扰动区域，按类型 / 时间着色，支持点击查看详情</w:t>
            </w:r>
          </w:p>
        </w:tc>
      </w:tr>
      <w:tr w14:paraId="3E6C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08D2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4</w:t>
            </w:r>
          </w:p>
        </w:tc>
        <w:tc>
          <w:tcPr>
            <w:tcW w:w="997" w:type="dxa"/>
            <w:vMerge w:val="continue"/>
            <w:shd w:val="clear" w:color="auto" w:fill="auto"/>
            <w:vAlign w:val="center"/>
          </w:tcPr>
          <w:p w14:paraId="7C2A12F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97107C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0CEAFD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5B720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扰动列表管理</w:t>
            </w:r>
          </w:p>
        </w:tc>
        <w:tc>
          <w:tcPr>
            <w:tcW w:w="5050" w:type="dxa"/>
            <w:shd w:val="clear" w:color="auto" w:fill="auto"/>
            <w:vAlign w:val="center"/>
          </w:tcPr>
          <w:p w14:paraId="0F7B38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以列表形式展示所有扰动事件，包含扰动位置、类型、面积、发生时间、所属路段、风险等级</w:t>
            </w:r>
          </w:p>
        </w:tc>
      </w:tr>
      <w:tr w14:paraId="14B5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4A238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5</w:t>
            </w:r>
          </w:p>
        </w:tc>
        <w:tc>
          <w:tcPr>
            <w:tcW w:w="997" w:type="dxa"/>
            <w:vMerge w:val="continue"/>
            <w:shd w:val="clear" w:color="auto" w:fill="auto"/>
            <w:vAlign w:val="center"/>
          </w:tcPr>
          <w:p w14:paraId="1F067C3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FFEBCB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A644D1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51C950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扰动详情弹窗</w:t>
            </w:r>
          </w:p>
        </w:tc>
        <w:tc>
          <w:tcPr>
            <w:tcW w:w="5050" w:type="dxa"/>
            <w:shd w:val="clear" w:color="auto" w:fill="auto"/>
            <w:vAlign w:val="center"/>
          </w:tcPr>
          <w:p w14:paraId="00C6CA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点击扰动区域 / 列表项，查看前后影像对比图、参数详情、分析结论</w:t>
            </w:r>
          </w:p>
        </w:tc>
      </w:tr>
      <w:tr w14:paraId="4E55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1D33F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6</w:t>
            </w:r>
          </w:p>
        </w:tc>
        <w:tc>
          <w:tcPr>
            <w:tcW w:w="997" w:type="dxa"/>
            <w:vMerge w:val="continue"/>
            <w:shd w:val="clear" w:color="auto" w:fill="auto"/>
            <w:vAlign w:val="center"/>
          </w:tcPr>
          <w:p w14:paraId="096B59E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5848A6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4A6766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989E3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扰动报告生成</w:t>
            </w:r>
          </w:p>
        </w:tc>
        <w:tc>
          <w:tcPr>
            <w:tcW w:w="5050" w:type="dxa"/>
            <w:shd w:val="clear" w:color="auto" w:fill="auto"/>
            <w:vAlign w:val="center"/>
          </w:tcPr>
          <w:p w14:paraId="7876E6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一键生成监测报告，包含扰动统计、分布分析、风险提示与管控建议</w:t>
            </w:r>
          </w:p>
        </w:tc>
      </w:tr>
      <w:tr w14:paraId="266E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41D2A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7</w:t>
            </w:r>
          </w:p>
        </w:tc>
        <w:tc>
          <w:tcPr>
            <w:tcW w:w="997" w:type="dxa"/>
            <w:vMerge w:val="restart"/>
            <w:shd w:val="clear" w:color="auto" w:fill="auto"/>
            <w:vAlign w:val="center"/>
          </w:tcPr>
          <w:p w14:paraId="6E957B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里程碑5：原型平台开发技术服务</w:t>
            </w:r>
          </w:p>
        </w:tc>
        <w:tc>
          <w:tcPr>
            <w:tcW w:w="737" w:type="dxa"/>
            <w:vMerge w:val="restart"/>
            <w:shd w:val="clear" w:color="auto" w:fill="auto"/>
            <w:vAlign w:val="center"/>
          </w:tcPr>
          <w:p w14:paraId="47F940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系统总览与基础能力</w:t>
            </w:r>
          </w:p>
        </w:tc>
        <w:tc>
          <w:tcPr>
            <w:tcW w:w="688" w:type="dxa"/>
            <w:vMerge w:val="restart"/>
            <w:shd w:val="clear" w:color="auto" w:fill="auto"/>
            <w:vAlign w:val="center"/>
          </w:tcPr>
          <w:p w14:paraId="19BD65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系统平台</w:t>
            </w:r>
          </w:p>
        </w:tc>
        <w:tc>
          <w:tcPr>
            <w:tcW w:w="987" w:type="dxa"/>
            <w:shd w:val="clear" w:color="auto" w:fill="auto"/>
            <w:vAlign w:val="center"/>
          </w:tcPr>
          <w:p w14:paraId="14523E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全域风险监测大屏</w:t>
            </w:r>
          </w:p>
        </w:tc>
        <w:tc>
          <w:tcPr>
            <w:tcW w:w="5050" w:type="dxa"/>
            <w:shd w:val="clear" w:color="auto" w:fill="auto"/>
            <w:vAlign w:val="center"/>
          </w:tcPr>
          <w:p w14:paraId="0FF6EA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基于三维卫星地图的高速公路风险监测可视化平台，覆盖G6911奉溪高速路网，支持全场景交互与数据联动</w:t>
            </w:r>
          </w:p>
        </w:tc>
      </w:tr>
      <w:tr w14:paraId="6272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EA5A0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8</w:t>
            </w:r>
          </w:p>
        </w:tc>
        <w:tc>
          <w:tcPr>
            <w:tcW w:w="997" w:type="dxa"/>
            <w:vMerge w:val="continue"/>
            <w:shd w:val="clear" w:color="auto" w:fill="auto"/>
            <w:vAlign w:val="center"/>
          </w:tcPr>
          <w:p w14:paraId="6C44E09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5566F4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ABF6B4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34A34A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基础信息展示</w:t>
            </w:r>
          </w:p>
        </w:tc>
        <w:tc>
          <w:tcPr>
            <w:tcW w:w="5050" w:type="dxa"/>
            <w:shd w:val="clear" w:color="auto" w:fill="auto"/>
            <w:vAlign w:val="center"/>
          </w:tcPr>
          <w:p w14:paraId="6469A6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显示系统时间、天气、地理位置（重庆），提供用户中心与AI助手入口</w:t>
            </w:r>
          </w:p>
        </w:tc>
      </w:tr>
      <w:tr w14:paraId="0E84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EF55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9</w:t>
            </w:r>
          </w:p>
        </w:tc>
        <w:tc>
          <w:tcPr>
            <w:tcW w:w="997" w:type="dxa"/>
            <w:vMerge w:val="continue"/>
            <w:shd w:val="clear" w:color="auto" w:fill="auto"/>
            <w:vAlign w:val="center"/>
          </w:tcPr>
          <w:p w14:paraId="0CBCC0F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5330FC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9A49E9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3C37E5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业务场景切换</w:t>
            </w:r>
          </w:p>
        </w:tc>
        <w:tc>
          <w:tcPr>
            <w:tcW w:w="5050" w:type="dxa"/>
            <w:shd w:val="clear" w:color="auto" w:fill="auto"/>
            <w:vAlign w:val="center"/>
          </w:tcPr>
          <w:p w14:paraId="05091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支持道路交通等业务场景的快速切换，当前聚焦高速公路地灾风险监测</w:t>
            </w:r>
          </w:p>
        </w:tc>
      </w:tr>
      <w:tr w14:paraId="7BFB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6C769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0</w:t>
            </w:r>
          </w:p>
        </w:tc>
        <w:tc>
          <w:tcPr>
            <w:tcW w:w="997" w:type="dxa"/>
            <w:vMerge w:val="continue"/>
            <w:shd w:val="clear" w:color="auto" w:fill="auto"/>
            <w:vAlign w:val="center"/>
          </w:tcPr>
          <w:p w14:paraId="26BFEC7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restart"/>
            <w:shd w:val="clear" w:color="auto" w:fill="auto"/>
            <w:vAlign w:val="center"/>
          </w:tcPr>
          <w:p w14:paraId="2995FF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隐患风险一张图</w:t>
            </w:r>
          </w:p>
        </w:tc>
        <w:tc>
          <w:tcPr>
            <w:tcW w:w="688" w:type="dxa"/>
            <w:vMerge w:val="restart"/>
            <w:shd w:val="clear" w:color="auto" w:fill="auto"/>
            <w:vAlign w:val="center"/>
          </w:tcPr>
          <w:p w14:paraId="473010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监测道路总览</w:t>
            </w:r>
          </w:p>
        </w:tc>
        <w:tc>
          <w:tcPr>
            <w:tcW w:w="987" w:type="dxa"/>
            <w:shd w:val="clear" w:color="auto" w:fill="auto"/>
            <w:vAlign w:val="center"/>
          </w:tcPr>
          <w:p w14:paraId="59F37F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道路基础信息展示</w:t>
            </w:r>
          </w:p>
        </w:tc>
        <w:tc>
          <w:tcPr>
            <w:tcW w:w="5050" w:type="dxa"/>
            <w:shd w:val="clear" w:color="auto" w:fill="auto"/>
            <w:vAlign w:val="center"/>
          </w:tcPr>
          <w:p w14:paraId="03350C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显示当前监测路段（如奉溪高速）、监测里程、桩号范围，明确监测边界</w:t>
            </w:r>
          </w:p>
        </w:tc>
      </w:tr>
      <w:tr w14:paraId="206F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90FF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1</w:t>
            </w:r>
          </w:p>
        </w:tc>
        <w:tc>
          <w:tcPr>
            <w:tcW w:w="997" w:type="dxa"/>
            <w:vMerge w:val="continue"/>
            <w:shd w:val="clear" w:color="auto" w:fill="auto"/>
            <w:vAlign w:val="center"/>
          </w:tcPr>
          <w:p w14:paraId="26F2CE0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CB48AB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A73085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EEDF5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关键设施统计</w:t>
            </w:r>
          </w:p>
        </w:tc>
        <w:tc>
          <w:tcPr>
            <w:tcW w:w="5050" w:type="dxa"/>
            <w:shd w:val="clear" w:color="auto" w:fill="auto"/>
            <w:vAlign w:val="center"/>
          </w:tcPr>
          <w:p w14:paraId="3743E3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分类统计高边坡、桥梁、隧道口等关键风险设施的数量，直观呈现监测范围规模</w:t>
            </w:r>
          </w:p>
        </w:tc>
      </w:tr>
      <w:tr w14:paraId="5F3E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C966A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2</w:t>
            </w:r>
          </w:p>
        </w:tc>
        <w:tc>
          <w:tcPr>
            <w:tcW w:w="997" w:type="dxa"/>
            <w:vMerge w:val="continue"/>
            <w:shd w:val="clear" w:color="auto" w:fill="auto"/>
            <w:vAlign w:val="center"/>
          </w:tcPr>
          <w:p w14:paraId="69B739E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6E1C92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76994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卫星信息管理</w:t>
            </w:r>
          </w:p>
        </w:tc>
        <w:tc>
          <w:tcPr>
            <w:tcW w:w="987" w:type="dxa"/>
            <w:shd w:val="clear" w:color="auto" w:fill="auto"/>
            <w:vAlign w:val="center"/>
          </w:tcPr>
          <w:p w14:paraId="70CC15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卫星数据源管理</w:t>
            </w:r>
          </w:p>
        </w:tc>
        <w:tc>
          <w:tcPr>
            <w:tcW w:w="5050" w:type="dxa"/>
            <w:shd w:val="clear" w:color="auto" w:fill="auto"/>
            <w:vAlign w:val="center"/>
          </w:tcPr>
          <w:p w14:paraId="0F3140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支持多颗卫星数据接入，展示卫星名称、轨道类型、轨道高度、重访周期等关键参数</w:t>
            </w:r>
          </w:p>
        </w:tc>
      </w:tr>
      <w:tr w14:paraId="6025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4F39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3</w:t>
            </w:r>
          </w:p>
        </w:tc>
        <w:tc>
          <w:tcPr>
            <w:tcW w:w="997" w:type="dxa"/>
            <w:vMerge w:val="continue"/>
            <w:shd w:val="clear" w:color="auto" w:fill="auto"/>
            <w:vAlign w:val="center"/>
          </w:tcPr>
          <w:p w14:paraId="2AAE426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B3B89C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B01A29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1A436F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数据类型区分</w:t>
            </w:r>
          </w:p>
        </w:tc>
        <w:tc>
          <w:tcPr>
            <w:tcW w:w="5050" w:type="dxa"/>
            <w:shd w:val="clear" w:color="auto" w:fill="auto"/>
            <w:vAlign w:val="center"/>
          </w:tcPr>
          <w:p w14:paraId="3E9482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对推扫成像、合成孔径雷达（SAR）等不同数据类型进行标签区分，明确数据来源与技术差异</w:t>
            </w:r>
          </w:p>
        </w:tc>
      </w:tr>
      <w:tr w14:paraId="2B06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C266D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4</w:t>
            </w:r>
          </w:p>
        </w:tc>
        <w:tc>
          <w:tcPr>
            <w:tcW w:w="997" w:type="dxa"/>
            <w:vMerge w:val="continue"/>
            <w:shd w:val="clear" w:color="auto" w:fill="auto"/>
            <w:vAlign w:val="center"/>
          </w:tcPr>
          <w:p w14:paraId="6C50070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2CBCA4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2C031B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风险</w:t>
            </w:r>
            <w:r>
              <w:rPr>
                <w:rFonts w:hint="eastAsia" w:ascii="宋体" w:hAnsi="宋体" w:eastAsia="宋体" w:cs="宋体"/>
                <w:i w:val="0"/>
                <w:iCs w:val="0"/>
                <w:color w:val="auto"/>
                <w:kern w:val="0"/>
                <w:sz w:val="18"/>
                <w:szCs w:val="18"/>
                <w:highlight w:val="none"/>
                <w:u w:val="none"/>
                <w:lang w:val="en-US" w:eastAsia="zh-CN" w:bidi="ar"/>
              </w:rPr>
              <w:t>提醒信息</w:t>
            </w:r>
          </w:p>
        </w:tc>
        <w:tc>
          <w:tcPr>
            <w:tcW w:w="987" w:type="dxa"/>
            <w:shd w:val="clear" w:color="auto" w:fill="auto"/>
            <w:vAlign w:val="center"/>
          </w:tcPr>
          <w:p w14:paraId="17057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风险分级提醒</w:t>
            </w:r>
          </w:p>
        </w:tc>
        <w:tc>
          <w:tcPr>
            <w:tcW w:w="5050" w:type="dxa"/>
            <w:shd w:val="clear" w:color="auto" w:fill="auto"/>
            <w:vAlign w:val="center"/>
          </w:tcPr>
          <w:p w14:paraId="57015D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按高、较高、中、低四级风险分级统计提醒数量，快速掌握整体风险分布</w:t>
            </w:r>
          </w:p>
        </w:tc>
      </w:tr>
      <w:tr w14:paraId="37C2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25C0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5</w:t>
            </w:r>
          </w:p>
        </w:tc>
        <w:tc>
          <w:tcPr>
            <w:tcW w:w="997" w:type="dxa"/>
            <w:vMerge w:val="continue"/>
            <w:shd w:val="clear" w:color="auto" w:fill="auto"/>
            <w:vAlign w:val="center"/>
          </w:tcPr>
          <w:p w14:paraId="2BF9342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C022DD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7359DE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E3A7A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隐患详情展示</w:t>
            </w:r>
          </w:p>
        </w:tc>
        <w:tc>
          <w:tcPr>
            <w:tcW w:w="5050" w:type="dxa"/>
            <w:shd w:val="clear" w:color="auto" w:fill="auto"/>
            <w:vAlign w:val="center"/>
          </w:tcPr>
          <w:p w14:paraId="1FA264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每条提醒包含隐患位置、监测数值，支持快速定位风险点</w:t>
            </w:r>
          </w:p>
        </w:tc>
      </w:tr>
      <w:tr w14:paraId="2F50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2970B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6</w:t>
            </w:r>
          </w:p>
        </w:tc>
        <w:tc>
          <w:tcPr>
            <w:tcW w:w="997" w:type="dxa"/>
            <w:vMerge w:val="continue"/>
            <w:shd w:val="clear" w:color="auto" w:fill="auto"/>
            <w:vAlign w:val="center"/>
          </w:tcPr>
          <w:p w14:paraId="12303B3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7399D3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36822E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增量风险提醒</w:t>
            </w:r>
          </w:p>
        </w:tc>
        <w:tc>
          <w:tcPr>
            <w:tcW w:w="987" w:type="dxa"/>
            <w:shd w:val="clear" w:color="auto" w:fill="auto"/>
            <w:vAlign w:val="center"/>
          </w:tcPr>
          <w:p w14:paraId="7A1BA5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高风险隐患聚焦</w:t>
            </w:r>
          </w:p>
        </w:tc>
        <w:tc>
          <w:tcPr>
            <w:tcW w:w="5050" w:type="dxa"/>
            <w:shd w:val="clear" w:color="auto" w:fill="auto"/>
            <w:vAlign w:val="center"/>
          </w:tcPr>
          <w:p w14:paraId="1A14BE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高亮展示高风险隐患的位置、监测点编号、形变数值，支持快速跳转，优先处置高等级风险</w:t>
            </w:r>
          </w:p>
        </w:tc>
      </w:tr>
      <w:tr w14:paraId="61D4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D2F28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7</w:t>
            </w:r>
          </w:p>
        </w:tc>
        <w:tc>
          <w:tcPr>
            <w:tcW w:w="997" w:type="dxa"/>
            <w:vMerge w:val="continue"/>
            <w:shd w:val="clear" w:color="auto" w:fill="auto"/>
            <w:vAlign w:val="center"/>
          </w:tcPr>
          <w:p w14:paraId="60B8944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733816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A4473F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3D0D47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风险动态追踪</w:t>
            </w:r>
          </w:p>
        </w:tc>
        <w:tc>
          <w:tcPr>
            <w:tcW w:w="5050" w:type="dxa"/>
            <w:shd w:val="clear" w:color="auto" w:fill="auto"/>
            <w:vAlign w:val="center"/>
          </w:tcPr>
          <w:p w14:paraId="56364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基于最新数据更新风险等级，突出形变异常的增量变化，辅助判断风险发展趋势</w:t>
            </w:r>
          </w:p>
        </w:tc>
      </w:tr>
      <w:tr w14:paraId="08D0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0F828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8</w:t>
            </w:r>
          </w:p>
        </w:tc>
        <w:tc>
          <w:tcPr>
            <w:tcW w:w="997" w:type="dxa"/>
            <w:vMerge w:val="continue"/>
            <w:shd w:val="clear" w:color="auto" w:fill="auto"/>
            <w:vAlign w:val="center"/>
          </w:tcPr>
          <w:p w14:paraId="4A31293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661CD9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shd w:val="clear" w:color="auto" w:fill="auto"/>
            <w:vAlign w:val="center"/>
          </w:tcPr>
          <w:p w14:paraId="621E3E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风险</w:t>
            </w:r>
            <w:r>
              <w:rPr>
                <w:rFonts w:hint="eastAsia" w:ascii="宋体" w:hAnsi="宋体" w:cs="宋体"/>
                <w:i w:val="0"/>
                <w:iCs w:val="0"/>
                <w:color w:val="auto"/>
                <w:kern w:val="0"/>
                <w:sz w:val="18"/>
                <w:szCs w:val="18"/>
                <w:highlight w:val="none"/>
                <w:u w:val="none"/>
                <w:lang w:val="en-US" w:eastAsia="zh-CN" w:bidi="ar"/>
              </w:rPr>
              <w:t>异动</w:t>
            </w:r>
            <w:r>
              <w:rPr>
                <w:rFonts w:hint="eastAsia" w:ascii="宋体" w:hAnsi="宋体" w:eastAsia="宋体" w:cs="宋体"/>
                <w:i w:val="0"/>
                <w:iCs w:val="0"/>
                <w:color w:val="auto"/>
                <w:kern w:val="0"/>
                <w:sz w:val="18"/>
                <w:szCs w:val="18"/>
                <w:highlight w:val="none"/>
                <w:u w:val="none"/>
                <w:lang w:val="en-US" w:eastAsia="zh-CN" w:bidi="ar"/>
              </w:rPr>
              <w:t>预警</w:t>
            </w:r>
          </w:p>
        </w:tc>
        <w:tc>
          <w:tcPr>
            <w:tcW w:w="987" w:type="dxa"/>
            <w:shd w:val="clear" w:color="auto" w:fill="auto"/>
            <w:vAlign w:val="center"/>
          </w:tcPr>
          <w:p w14:paraId="4E8B6D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动态追踪</w:t>
            </w:r>
          </w:p>
        </w:tc>
        <w:tc>
          <w:tcPr>
            <w:tcW w:w="5050" w:type="dxa"/>
            <w:shd w:val="clear" w:color="auto" w:fill="auto"/>
            <w:vAlign w:val="center"/>
          </w:tcPr>
          <w:p w14:paraId="016A6F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提供中危、高危风险持续扩大追踪，报警提醒重点关注</w:t>
            </w:r>
          </w:p>
        </w:tc>
      </w:tr>
      <w:tr w14:paraId="650F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3ED7E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9</w:t>
            </w:r>
          </w:p>
        </w:tc>
        <w:tc>
          <w:tcPr>
            <w:tcW w:w="997" w:type="dxa"/>
            <w:vMerge w:val="continue"/>
            <w:shd w:val="clear" w:color="auto" w:fill="auto"/>
            <w:vAlign w:val="center"/>
          </w:tcPr>
          <w:p w14:paraId="1EA5432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9AD3F8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3AC9AE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隐患风险分析</w:t>
            </w:r>
          </w:p>
        </w:tc>
        <w:tc>
          <w:tcPr>
            <w:tcW w:w="987" w:type="dxa"/>
            <w:shd w:val="clear" w:color="auto" w:fill="auto"/>
            <w:vAlign w:val="center"/>
          </w:tcPr>
          <w:p w14:paraId="2782FA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全域隐患可视化</w:t>
            </w:r>
          </w:p>
        </w:tc>
        <w:tc>
          <w:tcPr>
            <w:tcW w:w="5050" w:type="dxa"/>
            <w:shd w:val="clear" w:color="auto" w:fill="auto"/>
            <w:vAlign w:val="center"/>
          </w:tcPr>
          <w:p w14:paraId="2432B5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在三维地图上叠加所有隐患靶区，区分红线内外靶区，按风险等级着色，直观呈现全域风险分布</w:t>
            </w:r>
          </w:p>
        </w:tc>
      </w:tr>
      <w:tr w14:paraId="041C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81599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4</w:t>
            </w:r>
            <w:r>
              <w:rPr>
                <w:rFonts w:hint="eastAsia" w:ascii="宋体" w:hAnsi="宋体" w:eastAsia="宋体" w:cs="宋体"/>
                <w:i w:val="0"/>
                <w:iCs w:val="0"/>
                <w:color w:val="auto"/>
                <w:kern w:val="0"/>
                <w:sz w:val="18"/>
                <w:szCs w:val="18"/>
                <w:highlight w:val="none"/>
                <w:u w:val="none"/>
                <w:lang w:val="en-US" w:eastAsia="zh-CN" w:bidi="ar"/>
              </w:rPr>
              <w:t>0</w:t>
            </w:r>
          </w:p>
        </w:tc>
        <w:tc>
          <w:tcPr>
            <w:tcW w:w="997" w:type="dxa"/>
            <w:vMerge w:val="continue"/>
            <w:shd w:val="clear" w:color="auto" w:fill="auto"/>
            <w:vAlign w:val="center"/>
          </w:tcPr>
          <w:p w14:paraId="1A99452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18CBBC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3B10E5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692BA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隐患详情弹窗</w:t>
            </w:r>
          </w:p>
        </w:tc>
        <w:tc>
          <w:tcPr>
            <w:tcW w:w="5050" w:type="dxa"/>
            <w:shd w:val="clear" w:color="auto" w:fill="auto"/>
            <w:vAlign w:val="center"/>
          </w:tcPr>
          <w:p w14:paraId="59AD0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点击地图上的隐患点，弹出详情窗口，展示隐患名称、资产类型、关联资产、隐患类型、风险等级</w:t>
            </w:r>
          </w:p>
        </w:tc>
      </w:tr>
      <w:tr w14:paraId="4AB8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BDEFB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4</w:t>
            </w:r>
            <w:r>
              <w:rPr>
                <w:rFonts w:hint="eastAsia" w:ascii="宋体" w:hAnsi="宋体" w:eastAsia="宋体" w:cs="宋体"/>
                <w:i w:val="0"/>
                <w:iCs w:val="0"/>
                <w:color w:val="auto"/>
                <w:kern w:val="0"/>
                <w:sz w:val="18"/>
                <w:szCs w:val="18"/>
                <w:highlight w:val="none"/>
                <w:u w:val="none"/>
                <w:lang w:val="en-US" w:eastAsia="zh-CN" w:bidi="ar"/>
              </w:rPr>
              <w:t>1</w:t>
            </w:r>
          </w:p>
        </w:tc>
        <w:tc>
          <w:tcPr>
            <w:tcW w:w="997" w:type="dxa"/>
            <w:vMerge w:val="continue"/>
            <w:shd w:val="clear" w:color="auto" w:fill="auto"/>
            <w:vAlign w:val="center"/>
          </w:tcPr>
          <w:p w14:paraId="4D69B7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8A9856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9162AF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7148C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InSAR时序曲线展示</w:t>
            </w:r>
          </w:p>
        </w:tc>
        <w:tc>
          <w:tcPr>
            <w:tcW w:w="5050" w:type="dxa"/>
            <w:shd w:val="clear" w:color="auto" w:fill="auto"/>
            <w:vAlign w:val="center"/>
          </w:tcPr>
          <w:p w14:paraId="0AB298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在隐患详情弹窗中，展示该隐患点关键监测点的形变时序曲线，直观呈现长期形变趋势与速率</w:t>
            </w:r>
          </w:p>
        </w:tc>
      </w:tr>
      <w:tr w14:paraId="219C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6" w:hRule="atLeast"/>
          <w:jc w:val="center"/>
        </w:trPr>
        <w:tc>
          <w:tcPr>
            <w:tcW w:w="694" w:type="dxa"/>
            <w:shd w:val="clear" w:color="auto" w:fill="auto"/>
            <w:noWrap/>
            <w:vAlign w:val="center"/>
          </w:tcPr>
          <w:p w14:paraId="7BD100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4</w:t>
            </w:r>
            <w:r>
              <w:rPr>
                <w:rFonts w:hint="eastAsia" w:ascii="宋体" w:hAnsi="宋体" w:eastAsia="宋体" w:cs="宋体"/>
                <w:i w:val="0"/>
                <w:iCs w:val="0"/>
                <w:color w:val="auto"/>
                <w:kern w:val="0"/>
                <w:sz w:val="18"/>
                <w:szCs w:val="18"/>
                <w:highlight w:val="none"/>
                <w:u w:val="none"/>
                <w:lang w:val="en-US" w:eastAsia="zh-CN" w:bidi="ar"/>
              </w:rPr>
              <w:t>2</w:t>
            </w:r>
          </w:p>
        </w:tc>
        <w:tc>
          <w:tcPr>
            <w:tcW w:w="997" w:type="dxa"/>
            <w:vMerge w:val="continue"/>
            <w:shd w:val="clear" w:color="auto" w:fill="auto"/>
            <w:vAlign w:val="center"/>
          </w:tcPr>
          <w:p w14:paraId="1E97293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A4DEB6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F1D106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E7920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智能分析报告生成</w:t>
            </w:r>
          </w:p>
        </w:tc>
        <w:tc>
          <w:tcPr>
            <w:tcW w:w="5050" w:type="dxa"/>
            <w:shd w:val="clear" w:color="auto" w:fill="auto"/>
            <w:vAlign w:val="center"/>
          </w:tcPr>
          <w:p w14:paraId="0F4044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基于隐患数据自动生成分析内容，包括形变特征、活动状态、隐患分布及处置建议</w:t>
            </w:r>
          </w:p>
        </w:tc>
      </w:tr>
      <w:tr w14:paraId="2195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6" w:hRule="atLeast"/>
          <w:jc w:val="center"/>
        </w:trPr>
        <w:tc>
          <w:tcPr>
            <w:tcW w:w="694" w:type="dxa"/>
            <w:shd w:val="clear" w:color="auto" w:fill="auto"/>
            <w:noWrap/>
            <w:vAlign w:val="center"/>
          </w:tcPr>
          <w:p w14:paraId="370710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43</w:t>
            </w:r>
          </w:p>
        </w:tc>
        <w:tc>
          <w:tcPr>
            <w:tcW w:w="997" w:type="dxa"/>
            <w:vMerge w:val="continue"/>
            <w:shd w:val="clear" w:color="auto" w:fill="auto"/>
            <w:vAlign w:val="center"/>
          </w:tcPr>
          <w:p w14:paraId="1A0581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737" w:type="dxa"/>
            <w:vMerge w:val="continue"/>
            <w:shd w:val="clear" w:color="auto" w:fill="auto"/>
            <w:vAlign w:val="center"/>
          </w:tcPr>
          <w:p w14:paraId="5C4EAD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688" w:type="dxa"/>
            <w:vMerge w:val="continue"/>
            <w:shd w:val="clear" w:color="auto" w:fill="auto"/>
            <w:vAlign w:val="center"/>
          </w:tcPr>
          <w:p w14:paraId="5FEA15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987" w:type="dxa"/>
            <w:shd w:val="clear" w:color="auto" w:fill="auto"/>
            <w:vAlign w:val="center"/>
          </w:tcPr>
          <w:p w14:paraId="5C3E82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无人机任务记录</w:t>
            </w:r>
          </w:p>
        </w:tc>
        <w:tc>
          <w:tcPr>
            <w:tcW w:w="5050" w:type="dxa"/>
            <w:shd w:val="clear" w:color="auto" w:fill="auto"/>
            <w:vAlign w:val="center"/>
          </w:tcPr>
          <w:p w14:paraId="1455B5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基于隐患点展示无人机任务记录，以时间轴的形式展示，支持查看航拍照片，一目了然地发现实地变化</w:t>
            </w:r>
          </w:p>
        </w:tc>
      </w:tr>
      <w:tr w14:paraId="2579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94" w:type="dxa"/>
            <w:shd w:val="clear" w:color="auto" w:fill="auto"/>
            <w:noWrap/>
            <w:vAlign w:val="center"/>
          </w:tcPr>
          <w:p w14:paraId="5F1C62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44</w:t>
            </w:r>
          </w:p>
        </w:tc>
        <w:tc>
          <w:tcPr>
            <w:tcW w:w="997" w:type="dxa"/>
            <w:vMerge w:val="continue"/>
            <w:shd w:val="clear" w:color="auto" w:fill="auto"/>
            <w:vAlign w:val="center"/>
          </w:tcPr>
          <w:p w14:paraId="457431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737" w:type="dxa"/>
            <w:vMerge w:val="continue"/>
            <w:shd w:val="clear" w:color="auto" w:fill="auto"/>
            <w:vAlign w:val="center"/>
          </w:tcPr>
          <w:p w14:paraId="2D8464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688" w:type="dxa"/>
            <w:vMerge w:val="continue"/>
            <w:shd w:val="clear" w:color="auto" w:fill="auto"/>
            <w:vAlign w:val="center"/>
          </w:tcPr>
          <w:p w14:paraId="52C12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7" w:type="dxa"/>
            <w:shd w:val="clear" w:color="auto" w:fill="auto"/>
            <w:vAlign w:val="center"/>
          </w:tcPr>
          <w:p w14:paraId="490E7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隐患变更记录</w:t>
            </w:r>
          </w:p>
        </w:tc>
        <w:tc>
          <w:tcPr>
            <w:tcW w:w="5050" w:type="dxa"/>
            <w:shd w:val="clear" w:color="auto" w:fill="auto"/>
            <w:vAlign w:val="center"/>
          </w:tcPr>
          <w:p w14:paraId="1A0B93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基于隐患点展示其每个周期的状态变化</w:t>
            </w:r>
          </w:p>
        </w:tc>
      </w:tr>
      <w:tr w14:paraId="624D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94" w:type="dxa"/>
            <w:shd w:val="clear" w:color="auto" w:fill="auto"/>
            <w:noWrap/>
            <w:vAlign w:val="center"/>
          </w:tcPr>
          <w:p w14:paraId="76F7AD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45</w:t>
            </w:r>
          </w:p>
        </w:tc>
        <w:tc>
          <w:tcPr>
            <w:tcW w:w="997" w:type="dxa"/>
            <w:vMerge w:val="continue"/>
            <w:shd w:val="clear" w:color="auto" w:fill="auto"/>
            <w:vAlign w:val="center"/>
          </w:tcPr>
          <w:p w14:paraId="112C6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737" w:type="dxa"/>
            <w:vMerge w:val="continue"/>
            <w:shd w:val="clear" w:color="auto" w:fill="auto"/>
            <w:vAlign w:val="center"/>
          </w:tcPr>
          <w:p w14:paraId="126C16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688" w:type="dxa"/>
            <w:vMerge w:val="continue"/>
            <w:shd w:val="clear" w:color="auto" w:fill="auto"/>
            <w:vAlign w:val="center"/>
          </w:tcPr>
          <w:p w14:paraId="18AC5D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987" w:type="dxa"/>
            <w:shd w:val="clear" w:color="auto" w:fill="auto"/>
            <w:vAlign w:val="center"/>
          </w:tcPr>
          <w:p w14:paraId="57D447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隐患点卷帘分析</w:t>
            </w:r>
          </w:p>
        </w:tc>
        <w:tc>
          <w:tcPr>
            <w:tcW w:w="5050" w:type="dxa"/>
            <w:shd w:val="clear" w:color="auto" w:fill="auto"/>
            <w:vAlign w:val="center"/>
          </w:tcPr>
          <w:p w14:paraId="6E2C55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选择当前隐患点不同时期的图层，对比其变化情况</w:t>
            </w:r>
          </w:p>
        </w:tc>
      </w:tr>
      <w:tr w14:paraId="7115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1E3B3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46</w:t>
            </w:r>
          </w:p>
        </w:tc>
        <w:tc>
          <w:tcPr>
            <w:tcW w:w="997" w:type="dxa"/>
            <w:vMerge w:val="continue"/>
            <w:shd w:val="clear" w:color="auto" w:fill="auto"/>
            <w:vAlign w:val="center"/>
          </w:tcPr>
          <w:p w14:paraId="0FF7D77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36B65B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48BAE2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121602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AI模型问答交互</w:t>
            </w:r>
          </w:p>
        </w:tc>
        <w:tc>
          <w:tcPr>
            <w:tcW w:w="5050" w:type="dxa"/>
            <w:shd w:val="clear" w:color="auto" w:fill="auto"/>
            <w:vAlign w:val="center"/>
          </w:tcPr>
          <w:p w14:paraId="085093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提供侧边栏 AI 对话入口，支持用户输入问题（如隐患处置建议），结合隐患详情和InSAR数据生成专业分析与建议</w:t>
            </w:r>
          </w:p>
        </w:tc>
      </w:tr>
      <w:tr w14:paraId="4D30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4" w:type="dxa"/>
            <w:shd w:val="clear" w:color="auto" w:fill="auto"/>
            <w:noWrap/>
            <w:vAlign w:val="center"/>
          </w:tcPr>
          <w:p w14:paraId="4B9E8E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47</w:t>
            </w:r>
          </w:p>
        </w:tc>
        <w:tc>
          <w:tcPr>
            <w:tcW w:w="997" w:type="dxa"/>
            <w:vMerge w:val="continue"/>
            <w:shd w:val="clear" w:color="auto" w:fill="auto"/>
            <w:vAlign w:val="center"/>
          </w:tcPr>
          <w:p w14:paraId="6633F2A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B56C5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17F76C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图层管理</w:t>
            </w:r>
          </w:p>
        </w:tc>
        <w:tc>
          <w:tcPr>
            <w:tcW w:w="987" w:type="dxa"/>
            <w:shd w:val="clear" w:color="auto" w:fill="auto"/>
            <w:vAlign w:val="center"/>
          </w:tcPr>
          <w:p w14:paraId="34D9A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图层勾选</w:t>
            </w:r>
          </w:p>
        </w:tc>
        <w:tc>
          <w:tcPr>
            <w:tcW w:w="5050" w:type="dxa"/>
            <w:shd w:val="clear" w:color="auto" w:fill="auto"/>
            <w:vAlign w:val="center"/>
          </w:tcPr>
          <w:p w14:paraId="1BDED1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可选InSAR图层、地灾隐患、人为扰动、里程桩、视频监控、高速红线等</w:t>
            </w:r>
          </w:p>
        </w:tc>
      </w:tr>
      <w:tr w14:paraId="141B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4" w:type="dxa"/>
            <w:shd w:val="clear" w:color="auto" w:fill="auto"/>
            <w:noWrap/>
            <w:vAlign w:val="center"/>
          </w:tcPr>
          <w:p w14:paraId="27B0CC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48</w:t>
            </w:r>
          </w:p>
        </w:tc>
        <w:tc>
          <w:tcPr>
            <w:tcW w:w="997" w:type="dxa"/>
            <w:vMerge w:val="continue"/>
            <w:shd w:val="clear" w:color="auto" w:fill="auto"/>
            <w:vAlign w:val="center"/>
          </w:tcPr>
          <w:p w14:paraId="2CDF15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737" w:type="dxa"/>
            <w:vMerge w:val="continue"/>
            <w:shd w:val="clear" w:color="auto" w:fill="auto"/>
            <w:vAlign w:val="center"/>
          </w:tcPr>
          <w:p w14:paraId="075B32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688" w:type="dxa"/>
            <w:vMerge w:val="continue"/>
            <w:shd w:val="clear" w:color="auto" w:fill="auto"/>
            <w:vAlign w:val="center"/>
          </w:tcPr>
          <w:p w14:paraId="29E847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color w:val="auto"/>
                <w:highlight w:val="none"/>
              </w:rPr>
            </w:pPr>
          </w:p>
        </w:tc>
        <w:tc>
          <w:tcPr>
            <w:tcW w:w="987" w:type="dxa"/>
            <w:shd w:val="clear" w:color="auto" w:fill="auto"/>
            <w:vAlign w:val="center"/>
          </w:tcPr>
          <w:p w14:paraId="03FBF2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图层展示</w:t>
            </w:r>
          </w:p>
        </w:tc>
        <w:tc>
          <w:tcPr>
            <w:tcW w:w="5050" w:type="dxa"/>
            <w:shd w:val="clear" w:color="auto" w:fill="auto"/>
            <w:vAlign w:val="center"/>
          </w:tcPr>
          <w:p w14:paraId="4A26BD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提供InSAR图层、高速红线、网格、桩号、接入设备等图层管理</w:t>
            </w:r>
          </w:p>
        </w:tc>
      </w:tr>
      <w:tr w14:paraId="08CE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C8F3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49</w:t>
            </w:r>
          </w:p>
        </w:tc>
        <w:tc>
          <w:tcPr>
            <w:tcW w:w="997" w:type="dxa"/>
            <w:vMerge w:val="continue"/>
            <w:shd w:val="clear" w:color="auto" w:fill="auto"/>
            <w:vAlign w:val="center"/>
          </w:tcPr>
          <w:p w14:paraId="04970C1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restart"/>
            <w:shd w:val="clear" w:color="auto" w:fill="auto"/>
            <w:vAlign w:val="center"/>
          </w:tcPr>
          <w:p w14:paraId="55B269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精细化管控模块</w:t>
            </w:r>
          </w:p>
        </w:tc>
        <w:tc>
          <w:tcPr>
            <w:tcW w:w="688" w:type="dxa"/>
            <w:vMerge w:val="restart"/>
            <w:shd w:val="clear" w:color="auto" w:fill="auto"/>
            <w:vAlign w:val="center"/>
          </w:tcPr>
          <w:p w14:paraId="613BAD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在库隐患点监测</w:t>
            </w:r>
          </w:p>
        </w:tc>
        <w:tc>
          <w:tcPr>
            <w:tcW w:w="987" w:type="dxa"/>
            <w:shd w:val="clear" w:color="auto" w:fill="auto"/>
            <w:vAlign w:val="center"/>
          </w:tcPr>
          <w:p w14:paraId="218A4D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报警统计</w:t>
            </w:r>
          </w:p>
        </w:tc>
        <w:tc>
          <w:tcPr>
            <w:tcW w:w="5050" w:type="dxa"/>
            <w:shd w:val="clear" w:color="auto" w:fill="auto"/>
            <w:vAlign w:val="center"/>
          </w:tcPr>
          <w:p w14:paraId="6873B6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展示当</w:t>
            </w:r>
            <w:r>
              <w:rPr>
                <w:rFonts w:hint="eastAsia" w:ascii="宋体" w:hAnsi="宋体" w:cs="宋体"/>
                <w:i w:val="0"/>
                <w:iCs w:val="0"/>
                <w:color w:val="auto"/>
                <w:kern w:val="0"/>
                <w:sz w:val="18"/>
                <w:szCs w:val="18"/>
                <w:highlight w:val="none"/>
                <w:u w:val="none"/>
                <w:lang w:val="en-US" w:eastAsia="zh-CN" w:bidi="ar"/>
              </w:rPr>
              <w:t>前</w:t>
            </w:r>
            <w:r>
              <w:rPr>
                <w:rFonts w:hint="eastAsia" w:ascii="宋体" w:hAnsi="宋体" w:eastAsia="宋体" w:cs="宋体"/>
                <w:i w:val="0"/>
                <w:iCs w:val="0"/>
                <w:color w:val="auto"/>
                <w:kern w:val="0"/>
                <w:sz w:val="18"/>
                <w:szCs w:val="18"/>
                <w:highlight w:val="none"/>
                <w:u w:val="none"/>
                <w:lang w:val="en-US" w:eastAsia="zh-CN" w:bidi="ar"/>
              </w:rPr>
              <w:t>报警数量，快速掌握最新异常情况</w:t>
            </w:r>
          </w:p>
        </w:tc>
      </w:tr>
      <w:tr w14:paraId="7302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875CE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50</w:t>
            </w:r>
          </w:p>
        </w:tc>
        <w:tc>
          <w:tcPr>
            <w:tcW w:w="997" w:type="dxa"/>
            <w:vMerge w:val="continue"/>
            <w:shd w:val="clear" w:color="auto" w:fill="auto"/>
            <w:vAlign w:val="center"/>
          </w:tcPr>
          <w:p w14:paraId="5E245A3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80B707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6093D1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4327DB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隐患列表管理</w:t>
            </w:r>
          </w:p>
        </w:tc>
        <w:tc>
          <w:tcPr>
            <w:tcW w:w="5050" w:type="dxa"/>
            <w:shd w:val="clear" w:color="auto" w:fill="auto"/>
            <w:vAlign w:val="center"/>
          </w:tcPr>
          <w:p w14:paraId="1A067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以列表形式展示所有在库隐患点，包含隐患名称、预警类型、监测设备数量</w:t>
            </w:r>
          </w:p>
        </w:tc>
      </w:tr>
      <w:tr w14:paraId="2ACF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CC3F6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51</w:t>
            </w:r>
          </w:p>
        </w:tc>
        <w:tc>
          <w:tcPr>
            <w:tcW w:w="997" w:type="dxa"/>
            <w:vMerge w:val="continue"/>
            <w:shd w:val="clear" w:color="auto" w:fill="auto"/>
            <w:vAlign w:val="center"/>
          </w:tcPr>
          <w:p w14:paraId="66071EB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D8F404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DD134B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2414D3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隐患详情查看</w:t>
            </w:r>
          </w:p>
        </w:tc>
        <w:tc>
          <w:tcPr>
            <w:tcW w:w="5050" w:type="dxa"/>
            <w:shd w:val="clear" w:color="auto" w:fill="auto"/>
            <w:vAlign w:val="center"/>
          </w:tcPr>
          <w:p w14:paraId="3F771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支持查看隐患生命周期，包括新增，加剧，保持，减轻，关闭等状态；支持添加隐患的业务活动，</w:t>
            </w:r>
            <w:r>
              <w:rPr>
                <w:rFonts w:hint="eastAsia" w:ascii="宋体" w:hAnsi="宋体" w:cs="宋体"/>
                <w:i w:val="0"/>
                <w:iCs w:val="0"/>
                <w:color w:val="auto"/>
                <w:kern w:val="0"/>
                <w:sz w:val="18"/>
                <w:szCs w:val="18"/>
                <w:highlight w:val="none"/>
                <w:u w:val="none"/>
                <w:lang w:val="en-US" w:eastAsia="zh-CN" w:bidi="ar"/>
              </w:rPr>
              <w:t>查看</w:t>
            </w:r>
            <w:r>
              <w:rPr>
                <w:rFonts w:hint="eastAsia" w:ascii="宋体" w:hAnsi="宋体" w:eastAsia="宋体" w:cs="宋体"/>
                <w:i w:val="0"/>
                <w:iCs w:val="0"/>
                <w:color w:val="auto"/>
                <w:kern w:val="0"/>
                <w:sz w:val="18"/>
                <w:szCs w:val="18"/>
                <w:highlight w:val="none"/>
                <w:u w:val="none"/>
                <w:lang w:val="en-US" w:eastAsia="zh-CN" w:bidi="ar"/>
              </w:rPr>
              <w:t>无人机巡查资料，人工巡查资料等</w:t>
            </w:r>
          </w:p>
        </w:tc>
      </w:tr>
      <w:tr w14:paraId="7EB2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BBB23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52</w:t>
            </w:r>
          </w:p>
        </w:tc>
        <w:tc>
          <w:tcPr>
            <w:tcW w:w="997" w:type="dxa"/>
            <w:vMerge w:val="continue"/>
            <w:shd w:val="clear" w:color="auto" w:fill="auto"/>
            <w:vAlign w:val="center"/>
          </w:tcPr>
          <w:p w14:paraId="2531E0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F92D01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5BEB0A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136BE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高风险区域传感器接入</w:t>
            </w:r>
          </w:p>
        </w:tc>
        <w:tc>
          <w:tcPr>
            <w:tcW w:w="5050" w:type="dxa"/>
            <w:shd w:val="clear" w:color="auto" w:fill="auto"/>
            <w:vAlign w:val="center"/>
          </w:tcPr>
          <w:p w14:paraId="73A80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接入高风险区域视频监控、无人机、点云数据、路面传感器等设备，展示实时监测数据与变化趋势</w:t>
            </w:r>
          </w:p>
        </w:tc>
      </w:tr>
      <w:tr w14:paraId="232C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38338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53</w:t>
            </w:r>
          </w:p>
        </w:tc>
        <w:tc>
          <w:tcPr>
            <w:tcW w:w="997" w:type="dxa"/>
            <w:vMerge w:val="continue"/>
            <w:shd w:val="clear" w:color="auto" w:fill="auto"/>
            <w:vAlign w:val="center"/>
          </w:tcPr>
          <w:p w14:paraId="5C96B9F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F1742F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49330C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27BF2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无人机联动</w:t>
            </w:r>
          </w:p>
        </w:tc>
        <w:tc>
          <w:tcPr>
            <w:tcW w:w="5050" w:type="dxa"/>
            <w:shd w:val="clear" w:color="auto" w:fill="auto"/>
            <w:vAlign w:val="center"/>
          </w:tcPr>
          <w:p w14:paraId="700757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提供无人机巡检高危区域点位坐标，输出坐标表格，可展示无人机现场巡查图片</w:t>
            </w:r>
          </w:p>
        </w:tc>
      </w:tr>
      <w:tr w14:paraId="58C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2957F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54</w:t>
            </w:r>
          </w:p>
        </w:tc>
        <w:tc>
          <w:tcPr>
            <w:tcW w:w="997" w:type="dxa"/>
            <w:vMerge w:val="continue"/>
            <w:shd w:val="clear" w:color="auto" w:fill="auto"/>
            <w:vAlign w:val="center"/>
          </w:tcPr>
          <w:p w14:paraId="59E53C6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01F8E7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06520A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562DB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报警处置操作</w:t>
            </w:r>
          </w:p>
        </w:tc>
        <w:tc>
          <w:tcPr>
            <w:tcW w:w="5050" w:type="dxa"/>
            <w:shd w:val="clear" w:color="auto" w:fill="auto"/>
            <w:vAlign w:val="center"/>
          </w:tcPr>
          <w:p w14:paraId="36B013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支持「忽略报警」「事件上报」操作，记录处置过程</w:t>
            </w:r>
          </w:p>
        </w:tc>
      </w:tr>
      <w:tr w14:paraId="0145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35E15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55</w:t>
            </w:r>
          </w:p>
        </w:tc>
        <w:tc>
          <w:tcPr>
            <w:tcW w:w="997" w:type="dxa"/>
            <w:vMerge w:val="continue"/>
            <w:shd w:val="clear" w:color="auto" w:fill="auto"/>
            <w:vAlign w:val="center"/>
          </w:tcPr>
          <w:p w14:paraId="5BADC86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restart"/>
            <w:shd w:val="clear" w:color="auto" w:fill="auto"/>
            <w:vAlign w:val="center"/>
          </w:tcPr>
          <w:p w14:paraId="66F0E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后台管理功能</w:t>
            </w:r>
          </w:p>
        </w:tc>
        <w:tc>
          <w:tcPr>
            <w:tcW w:w="688" w:type="dxa"/>
            <w:vMerge w:val="restart"/>
            <w:shd w:val="clear" w:color="auto" w:fill="auto"/>
            <w:vAlign w:val="center"/>
          </w:tcPr>
          <w:p w14:paraId="10385F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基础设置</w:t>
            </w:r>
          </w:p>
        </w:tc>
        <w:tc>
          <w:tcPr>
            <w:tcW w:w="987" w:type="dxa"/>
            <w:vMerge w:val="restart"/>
            <w:shd w:val="clear" w:color="auto" w:fill="auto"/>
            <w:vAlign w:val="center"/>
          </w:tcPr>
          <w:p w14:paraId="6DDDA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文件中心</w:t>
            </w:r>
          </w:p>
        </w:tc>
        <w:tc>
          <w:tcPr>
            <w:tcW w:w="5050" w:type="dxa"/>
            <w:shd w:val="clear" w:color="auto" w:fill="auto"/>
            <w:vAlign w:val="center"/>
          </w:tcPr>
          <w:p w14:paraId="32A8C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对象存储，提供对象存储连接信息的新建、编辑、删除、启用、停用等管理功能，支持对接主流对象存储服务，实现海量文件的分布式存储，保障数据存储的安全性与可扩展性。</w:t>
            </w:r>
          </w:p>
        </w:tc>
      </w:tr>
      <w:tr w14:paraId="58B4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7" w:hRule="atLeast"/>
          <w:jc w:val="center"/>
        </w:trPr>
        <w:tc>
          <w:tcPr>
            <w:tcW w:w="694" w:type="dxa"/>
            <w:shd w:val="clear" w:color="auto" w:fill="auto"/>
            <w:noWrap/>
            <w:vAlign w:val="center"/>
          </w:tcPr>
          <w:p w14:paraId="62B099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56</w:t>
            </w:r>
          </w:p>
        </w:tc>
        <w:tc>
          <w:tcPr>
            <w:tcW w:w="997" w:type="dxa"/>
            <w:vMerge w:val="continue"/>
            <w:shd w:val="clear" w:color="auto" w:fill="auto"/>
            <w:vAlign w:val="center"/>
          </w:tcPr>
          <w:p w14:paraId="17335AF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633ACA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3E552A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638379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1190BA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文件管理，支持文件目录的梳理编目与可视化层级管理，提供按目录进行文件上传、编辑、下载、删除等操作，支持文件多条件检索，实现文件的精准查找与高效管理。</w:t>
            </w:r>
          </w:p>
        </w:tc>
      </w:tr>
      <w:tr w14:paraId="33B4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18C20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57</w:t>
            </w:r>
          </w:p>
        </w:tc>
        <w:tc>
          <w:tcPr>
            <w:tcW w:w="997" w:type="dxa"/>
            <w:vMerge w:val="continue"/>
            <w:shd w:val="clear" w:color="auto" w:fill="auto"/>
            <w:vAlign w:val="center"/>
          </w:tcPr>
          <w:p w14:paraId="68B7F27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445688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CC4FB2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0310D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基础配置</w:t>
            </w:r>
          </w:p>
        </w:tc>
        <w:tc>
          <w:tcPr>
            <w:tcW w:w="5050" w:type="dxa"/>
            <w:shd w:val="clear" w:color="auto" w:fill="auto"/>
            <w:vAlign w:val="center"/>
          </w:tcPr>
          <w:p w14:paraId="1F7913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行政区划，提供树状层级行政区划管理能力，支持行政区划节点新增下级、批量导入，实现行政区划与矢量范围的精准绑定，确保监测数据与行政区域的联动管理。</w:t>
            </w:r>
          </w:p>
        </w:tc>
      </w:tr>
      <w:tr w14:paraId="7E33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0FB4D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58</w:t>
            </w:r>
          </w:p>
        </w:tc>
        <w:tc>
          <w:tcPr>
            <w:tcW w:w="997" w:type="dxa"/>
            <w:vMerge w:val="continue"/>
            <w:shd w:val="clear" w:color="auto" w:fill="auto"/>
            <w:vAlign w:val="center"/>
          </w:tcPr>
          <w:p w14:paraId="4E7FE3C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E454B4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CDE97F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5405D4C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2B8D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系统配置，支持系统Logo、系统名称、版权信息、备案号等品牌信息的自定义配置，可对登录页背景、主题颜色、系统布局模式、侧边栏/头部导航颜色等视觉样式进行个性化设置，实现系统的品牌化定制。</w:t>
            </w:r>
          </w:p>
        </w:tc>
      </w:tr>
      <w:tr w14:paraId="1193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26D85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59</w:t>
            </w:r>
          </w:p>
        </w:tc>
        <w:tc>
          <w:tcPr>
            <w:tcW w:w="997" w:type="dxa"/>
            <w:vMerge w:val="continue"/>
            <w:shd w:val="clear" w:color="auto" w:fill="auto"/>
            <w:vAlign w:val="center"/>
          </w:tcPr>
          <w:p w14:paraId="371971F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4961F5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11D770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28F9BF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系统管理</w:t>
            </w:r>
          </w:p>
        </w:tc>
        <w:tc>
          <w:tcPr>
            <w:tcW w:w="5050" w:type="dxa"/>
            <w:shd w:val="clear" w:color="auto" w:fill="auto"/>
            <w:vAlign w:val="center"/>
          </w:tcPr>
          <w:p w14:paraId="13FE69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多维组织管理，支持临时性组织的加入与管理，提供组织新建、编辑、删除功能，实现组织与人员、空间信息的数据表关联配置（含关联字段、排序规则、过滤条件），适配高速管理多部门、多标段的组织管理需求。</w:t>
            </w:r>
          </w:p>
        </w:tc>
      </w:tr>
      <w:tr w14:paraId="68DE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3D6BB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60</w:t>
            </w:r>
          </w:p>
        </w:tc>
        <w:tc>
          <w:tcPr>
            <w:tcW w:w="997" w:type="dxa"/>
            <w:vMerge w:val="continue"/>
            <w:shd w:val="clear" w:color="auto" w:fill="auto"/>
            <w:vAlign w:val="center"/>
          </w:tcPr>
          <w:p w14:paraId="750BF9F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15CE6F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111531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16E6EE4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43F38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动态字典，支持将业务数据中的字典特性数据动态配置为系统字典，提供字典新建、编辑、删除、查询等管理功能，实现业务字典的灵活适配与动态更新。</w:t>
            </w:r>
          </w:p>
        </w:tc>
      </w:tr>
      <w:tr w14:paraId="2B13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B050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61</w:t>
            </w:r>
          </w:p>
        </w:tc>
        <w:tc>
          <w:tcPr>
            <w:tcW w:w="997" w:type="dxa"/>
            <w:vMerge w:val="continue"/>
            <w:shd w:val="clear" w:color="auto" w:fill="auto"/>
            <w:vAlign w:val="center"/>
          </w:tcPr>
          <w:p w14:paraId="788FEF0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479D90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7EDB4D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BC6851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04833A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系统字典，支持系统内部基础字典及字典项的新建、编辑、删除、查询，支持字典项展示颜色的个性化配置，为系统统一数据编码、统一展示标准提供支撑。</w:t>
            </w:r>
          </w:p>
        </w:tc>
      </w:tr>
      <w:tr w14:paraId="2187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0407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62</w:t>
            </w:r>
          </w:p>
        </w:tc>
        <w:tc>
          <w:tcPr>
            <w:tcW w:w="997" w:type="dxa"/>
            <w:vMerge w:val="continue"/>
            <w:shd w:val="clear" w:color="auto" w:fill="auto"/>
            <w:vAlign w:val="center"/>
          </w:tcPr>
          <w:p w14:paraId="3368ABA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931679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AAB3D3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23907CC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14C31D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业务字典，支持高速公路监测业务所需字典数据及字典项的全生命周期管理，为业务侧提供标准化的字典数据查询能力，确保业务数据的一致性。</w:t>
            </w:r>
          </w:p>
        </w:tc>
      </w:tr>
      <w:tr w14:paraId="33DD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9C78F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63</w:t>
            </w:r>
          </w:p>
        </w:tc>
        <w:tc>
          <w:tcPr>
            <w:tcW w:w="997" w:type="dxa"/>
            <w:vMerge w:val="continue"/>
            <w:shd w:val="clear" w:color="auto" w:fill="auto"/>
            <w:vAlign w:val="center"/>
          </w:tcPr>
          <w:p w14:paraId="0241B61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A0AB8C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DB6D16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3489281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20F173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菜单管理，支持子应用的新建、编辑、删除，实现多客户端（PC端、移动端）菜单的精细化配置（含菜单属性、打开方式），可对菜单关联的接口权限和数据权限进行精准配置，实现功能权限的细粒度管控。</w:t>
            </w:r>
          </w:p>
        </w:tc>
      </w:tr>
      <w:tr w14:paraId="6498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532F8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64</w:t>
            </w:r>
          </w:p>
        </w:tc>
        <w:tc>
          <w:tcPr>
            <w:tcW w:w="997" w:type="dxa"/>
            <w:vMerge w:val="continue"/>
            <w:shd w:val="clear" w:color="auto" w:fill="auto"/>
            <w:vAlign w:val="center"/>
          </w:tcPr>
          <w:p w14:paraId="5CFF66D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8D9B66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E4C89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C33F3E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4CF44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参数管理，支持系统级运行参数的新建、编辑、删除、查询，提供参数内存缓存与统一的参数获取接口能力，确保系统参数的高效调用与动态更新。</w:t>
            </w:r>
          </w:p>
        </w:tc>
      </w:tr>
      <w:tr w14:paraId="4A92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13EBD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65</w:t>
            </w:r>
          </w:p>
        </w:tc>
        <w:tc>
          <w:tcPr>
            <w:tcW w:w="997" w:type="dxa"/>
            <w:vMerge w:val="continue"/>
            <w:shd w:val="clear" w:color="auto" w:fill="auto"/>
            <w:vAlign w:val="center"/>
          </w:tcPr>
          <w:p w14:paraId="1DE3C1E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81CB10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2F1027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1D7CEE6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78149E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租户管理，支持产品包的新建、编辑、删除及菜单勾选配置，实现租户的全生命周期管理、批量授权与产品包分配，适配多主体参与的高速监测管理模式。</w:t>
            </w:r>
          </w:p>
        </w:tc>
      </w:tr>
      <w:tr w14:paraId="3838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AD38A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66</w:t>
            </w:r>
          </w:p>
        </w:tc>
        <w:tc>
          <w:tcPr>
            <w:tcW w:w="997" w:type="dxa"/>
            <w:vMerge w:val="continue"/>
            <w:shd w:val="clear" w:color="auto" w:fill="auto"/>
            <w:vAlign w:val="center"/>
          </w:tcPr>
          <w:p w14:paraId="6B597E4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3A1A09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E02959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B7045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BB86C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客户端管理，遵循OAuth2.0标准，实现客户端接入授权管理，提供客户端新建、编辑、删除、查询功能，支持令牌刷新、密码、授权码、验证码等多种授权类型，保障系统接入的安全性。</w:t>
            </w:r>
          </w:p>
        </w:tc>
      </w:tr>
      <w:tr w14:paraId="719B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BB2D9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67</w:t>
            </w:r>
          </w:p>
        </w:tc>
        <w:tc>
          <w:tcPr>
            <w:tcW w:w="997" w:type="dxa"/>
            <w:vMerge w:val="continue"/>
            <w:shd w:val="clear" w:color="auto" w:fill="auto"/>
            <w:vAlign w:val="center"/>
          </w:tcPr>
          <w:p w14:paraId="14C902E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AB7CEE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EFA4EB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05BCEF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组织机构</w:t>
            </w:r>
          </w:p>
        </w:tc>
        <w:tc>
          <w:tcPr>
            <w:tcW w:w="5050" w:type="dxa"/>
            <w:shd w:val="clear" w:color="auto" w:fill="auto"/>
            <w:vAlign w:val="center"/>
          </w:tcPr>
          <w:p w14:paraId="1E02BE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组织管理，支持组织树状结构的层级管理，提供下级组织维护、组织角色绑定、功能权限配置功能，实现组织与系统权限的精准联动。</w:t>
            </w:r>
          </w:p>
        </w:tc>
      </w:tr>
      <w:tr w14:paraId="4E0CC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CAA17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68</w:t>
            </w:r>
          </w:p>
        </w:tc>
        <w:tc>
          <w:tcPr>
            <w:tcW w:w="997" w:type="dxa"/>
            <w:vMerge w:val="continue"/>
            <w:shd w:val="clear" w:color="auto" w:fill="auto"/>
            <w:vAlign w:val="center"/>
          </w:tcPr>
          <w:p w14:paraId="78C0C3E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56E924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02AD01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7710798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FCC1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人员管理，支持按组织层级对人员进行精细化管理，提供人员新建、编辑、删除、密码重置、账号解封等功能，支持人员多组织关系绑定、角色分配、岗位职级配置，实现人员信息的全方位管理。</w:t>
            </w:r>
          </w:p>
        </w:tc>
      </w:tr>
      <w:tr w14:paraId="7F45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4EC2E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69</w:t>
            </w:r>
          </w:p>
        </w:tc>
        <w:tc>
          <w:tcPr>
            <w:tcW w:w="997" w:type="dxa"/>
            <w:vMerge w:val="continue"/>
            <w:shd w:val="clear" w:color="auto" w:fill="auto"/>
            <w:vAlign w:val="center"/>
          </w:tcPr>
          <w:p w14:paraId="7DD08B5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8B0C45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56A64F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75CB5A0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579C2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岗位管理，支持岗位数据的新建、编辑、删除、查询等基础管理功能，为人员岗位配置、权限分配提供标准化基础。</w:t>
            </w:r>
          </w:p>
        </w:tc>
      </w:tr>
      <w:tr w14:paraId="1B84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628B7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70</w:t>
            </w:r>
          </w:p>
        </w:tc>
        <w:tc>
          <w:tcPr>
            <w:tcW w:w="997" w:type="dxa"/>
            <w:vMerge w:val="continue"/>
            <w:shd w:val="clear" w:color="auto" w:fill="auto"/>
            <w:vAlign w:val="center"/>
          </w:tcPr>
          <w:p w14:paraId="248F37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39E2F6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96146A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5193F0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角色权限</w:t>
            </w:r>
          </w:p>
        </w:tc>
        <w:tc>
          <w:tcPr>
            <w:tcW w:w="5050" w:type="dxa"/>
            <w:shd w:val="clear" w:color="auto" w:fill="auto"/>
            <w:vAlign w:val="center"/>
          </w:tcPr>
          <w:p w14:paraId="5DEC60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权限分配，支持按组织进行系统功能权限的分配、新增、删除、更新等操作，实现组织层面的权限统一管控。</w:t>
            </w:r>
          </w:p>
        </w:tc>
      </w:tr>
      <w:tr w14:paraId="41B0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3177B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71</w:t>
            </w:r>
          </w:p>
        </w:tc>
        <w:tc>
          <w:tcPr>
            <w:tcW w:w="997" w:type="dxa"/>
            <w:vMerge w:val="continue"/>
            <w:shd w:val="clear" w:color="auto" w:fill="auto"/>
            <w:vAlign w:val="center"/>
          </w:tcPr>
          <w:p w14:paraId="701A6DC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207765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44C195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7430E71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44EC71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角色管理，支持角色树状结构展示，提供下级角色添加、角色信息编辑、上级角色配置功能，可对角色进行功能权限和数据权限的精准配置，实现角色权限的个性化定制。</w:t>
            </w:r>
          </w:p>
        </w:tc>
      </w:tr>
      <w:tr w14:paraId="5C7C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EB40F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72</w:t>
            </w:r>
          </w:p>
        </w:tc>
        <w:tc>
          <w:tcPr>
            <w:tcW w:w="997" w:type="dxa"/>
            <w:vMerge w:val="continue"/>
            <w:shd w:val="clear" w:color="auto" w:fill="auto"/>
            <w:vAlign w:val="center"/>
          </w:tcPr>
          <w:p w14:paraId="5B5E423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8D4382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8FFF4D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2C77828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4F5C73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人员角色，支持查看人员与角色的关联关系（含人员名称/账号/角色/组织/状态），可对无效的人员角色关联进行删除操作，实现人员权限的动态调整。</w:t>
            </w:r>
          </w:p>
        </w:tc>
      </w:tr>
      <w:tr w14:paraId="172B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FA806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73</w:t>
            </w:r>
          </w:p>
        </w:tc>
        <w:tc>
          <w:tcPr>
            <w:tcW w:w="997" w:type="dxa"/>
            <w:vMerge w:val="continue"/>
            <w:shd w:val="clear" w:color="auto" w:fill="auto"/>
            <w:vAlign w:val="center"/>
          </w:tcPr>
          <w:p w14:paraId="11BF842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19E34C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050CD4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47B011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日志中心</w:t>
            </w:r>
          </w:p>
        </w:tc>
        <w:tc>
          <w:tcPr>
            <w:tcW w:w="5050" w:type="dxa"/>
            <w:shd w:val="clear" w:color="auto" w:fill="auto"/>
            <w:vAlign w:val="center"/>
          </w:tcPr>
          <w:p w14:paraId="78FEA9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登录日志，自动收集系统所有登录行为日志，提供日志分页列表展示、多条件查询功能，支持查看日志详情（含追踪ID/租户/用户名/IP/登录状态/登录时间等），实现登录行为的全追溯。</w:t>
            </w:r>
          </w:p>
        </w:tc>
      </w:tr>
      <w:tr w14:paraId="3E26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F9543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74</w:t>
            </w:r>
          </w:p>
        </w:tc>
        <w:tc>
          <w:tcPr>
            <w:tcW w:w="997" w:type="dxa"/>
            <w:vMerge w:val="continue"/>
            <w:shd w:val="clear" w:color="auto" w:fill="auto"/>
            <w:vAlign w:val="center"/>
          </w:tcPr>
          <w:p w14:paraId="07FFFD4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8623C6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0C13E5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5ED9917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754D10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操作日志自动收集系统所有业务操作行为日志，提供日志分页列表展示、多条件查询功能，支持查看日志详情（含追踪ID/操作模块/操作人/IP/操作耗时/操作状态等），实现业务操作的全审计。</w:t>
            </w:r>
          </w:p>
        </w:tc>
      </w:tr>
      <w:tr w14:paraId="50CF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A5F7E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75</w:t>
            </w:r>
          </w:p>
        </w:tc>
        <w:tc>
          <w:tcPr>
            <w:tcW w:w="997" w:type="dxa"/>
            <w:vMerge w:val="continue"/>
            <w:shd w:val="clear" w:color="auto" w:fill="auto"/>
            <w:vAlign w:val="center"/>
          </w:tcPr>
          <w:p w14:paraId="73EBF64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D18D2F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0B4056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2258D1F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1F8E16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访问日志自动收集系统所有访问请求日志，提供日志分页列表展示、多条件查询功能，支持查看日志详情（含请求信息/响应信息/错误信息/访问耗时等），实现系统访问的全监控。</w:t>
            </w:r>
          </w:p>
        </w:tc>
      </w:tr>
      <w:tr w14:paraId="4A09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14C76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76</w:t>
            </w:r>
          </w:p>
        </w:tc>
        <w:tc>
          <w:tcPr>
            <w:tcW w:w="997" w:type="dxa"/>
            <w:vMerge w:val="continue"/>
            <w:shd w:val="clear" w:color="auto" w:fill="auto"/>
            <w:vAlign w:val="center"/>
          </w:tcPr>
          <w:p w14:paraId="2377476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7B1361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25C838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流程中心</w:t>
            </w:r>
          </w:p>
        </w:tc>
        <w:tc>
          <w:tcPr>
            <w:tcW w:w="987" w:type="dxa"/>
            <w:shd w:val="clear" w:color="auto" w:fill="auto"/>
            <w:vAlign w:val="center"/>
          </w:tcPr>
          <w:p w14:paraId="5EA275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变量管理</w:t>
            </w:r>
          </w:p>
        </w:tc>
        <w:tc>
          <w:tcPr>
            <w:tcW w:w="5050" w:type="dxa"/>
            <w:shd w:val="clear" w:color="auto" w:fill="auto"/>
            <w:vAlign w:val="center"/>
          </w:tcPr>
          <w:p w14:paraId="5E30EC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支持工作流全局变量的新增、目录分类管理，可实现内置系统变量的自动同步，对变量进行启用/禁用操作，支持变量详情查看，为流程运行提供动态参数支撑。</w:t>
            </w:r>
          </w:p>
        </w:tc>
      </w:tr>
      <w:tr w14:paraId="6107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E4EE2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77</w:t>
            </w:r>
          </w:p>
        </w:tc>
        <w:tc>
          <w:tcPr>
            <w:tcW w:w="997" w:type="dxa"/>
            <w:vMerge w:val="continue"/>
            <w:shd w:val="clear" w:color="auto" w:fill="auto"/>
            <w:vAlign w:val="center"/>
          </w:tcPr>
          <w:p w14:paraId="21D56E8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F5F444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6523FD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0FB7C6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流水号管理</w:t>
            </w:r>
          </w:p>
        </w:tc>
        <w:tc>
          <w:tcPr>
            <w:tcW w:w="5050" w:type="dxa"/>
            <w:shd w:val="clear" w:color="auto" w:fill="auto"/>
            <w:vAlign w:val="center"/>
          </w:tcPr>
          <w:p w14:paraId="772FC5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支持流程业务流水号规则的自定义定义，可配置流水号前缀、日期格式、位数、重置周期等规则，提供规则新增、编辑、查看功能，实现业务流程单据的标准化编号。</w:t>
            </w:r>
          </w:p>
        </w:tc>
      </w:tr>
      <w:tr w14:paraId="72F3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BA031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78</w:t>
            </w:r>
          </w:p>
        </w:tc>
        <w:tc>
          <w:tcPr>
            <w:tcW w:w="997" w:type="dxa"/>
            <w:vMerge w:val="continue"/>
            <w:shd w:val="clear" w:color="auto" w:fill="auto"/>
            <w:vAlign w:val="center"/>
          </w:tcPr>
          <w:p w14:paraId="1B31885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C22A9A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34332A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A3E4A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按钮管理</w:t>
            </w:r>
          </w:p>
        </w:tc>
        <w:tc>
          <w:tcPr>
            <w:tcW w:w="5050" w:type="dxa"/>
            <w:shd w:val="clear" w:color="auto" w:fill="auto"/>
            <w:vAlign w:val="center"/>
          </w:tcPr>
          <w:p w14:paraId="0C4E0A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支持流程节点操作按钮的新增、删除、启用/禁用、编辑功能，可配置按钮详情（含名称、操作权限、图标、触发动作、审批意见模板等），实现流程操作的标准化与个性化适配。</w:t>
            </w:r>
          </w:p>
        </w:tc>
      </w:tr>
      <w:tr w14:paraId="4B09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A7DCE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79</w:t>
            </w:r>
          </w:p>
        </w:tc>
        <w:tc>
          <w:tcPr>
            <w:tcW w:w="997" w:type="dxa"/>
            <w:vMerge w:val="continue"/>
            <w:shd w:val="clear" w:color="auto" w:fill="auto"/>
            <w:vAlign w:val="center"/>
          </w:tcPr>
          <w:p w14:paraId="261C7A5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CC32FC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BAA413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59FAC8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节点管理</w:t>
            </w:r>
          </w:p>
        </w:tc>
        <w:tc>
          <w:tcPr>
            <w:tcW w:w="5050" w:type="dxa"/>
            <w:shd w:val="clear" w:color="auto" w:fill="auto"/>
            <w:vAlign w:val="center"/>
          </w:tcPr>
          <w:p w14:paraId="262B4C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支持流程节点的新增、编辑、查看、启用/禁用操作，可精细化配置节点信息（含名称、编码、空间位置、操作权限、触发操作、节点说明等），实现流程节点的规范化管理，适配不同业务流程的节点设置需求。</w:t>
            </w:r>
          </w:p>
        </w:tc>
      </w:tr>
      <w:tr w14:paraId="1836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697A5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80</w:t>
            </w:r>
          </w:p>
        </w:tc>
        <w:tc>
          <w:tcPr>
            <w:tcW w:w="997" w:type="dxa"/>
            <w:vMerge w:val="continue"/>
            <w:shd w:val="clear" w:color="auto" w:fill="auto"/>
            <w:vAlign w:val="center"/>
          </w:tcPr>
          <w:p w14:paraId="7B18EC5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597FA0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771E68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4B8F05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表单管理</w:t>
            </w:r>
          </w:p>
        </w:tc>
        <w:tc>
          <w:tcPr>
            <w:tcW w:w="5050" w:type="dxa"/>
            <w:shd w:val="clear" w:color="auto" w:fill="auto"/>
            <w:vAlign w:val="center"/>
          </w:tcPr>
          <w:p w14:paraId="29186C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支持工作流业务表单的新增、删除、设计、编辑、目录管理，提供可视化的表单字段、布局、样式设计能力，适配隐患核实、任务巡检、验收销警等不同业务场景的表单需求，实现业务数据的标准化采集。</w:t>
            </w:r>
          </w:p>
        </w:tc>
      </w:tr>
      <w:tr w14:paraId="1492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27BA0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81</w:t>
            </w:r>
          </w:p>
        </w:tc>
        <w:tc>
          <w:tcPr>
            <w:tcW w:w="997" w:type="dxa"/>
            <w:vMerge w:val="continue"/>
            <w:shd w:val="clear" w:color="auto" w:fill="auto"/>
            <w:vAlign w:val="center"/>
          </w:tcPr>
          <w:p w14:paraId="0552281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8FF651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84FA3B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A852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流程设计</w:t>
            </w:r>
          </w:p>
        </w:tc>
        <w:tc>
          <w:tcPr>
            <w:tcW w:w="5050" w:type="dxa"/>
            <w:shd w:val="clear" w:color="auto" w:fill="auto"/>
            <w:vAlign w:val="center"/>
          </w:tcPr>
          <w:p w14:paraId="219E97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支持工作流目录的层级管理，提供流程新增、启用/禁用操作，采用可视化拖拽式流程设计方式，实现业务流程的快速搭建与修改，支持流程版本管理、流程图在线查看，可一键发起流程运行。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支持已发起流程的实时查看与在线处理，可直观展示流程当前运行状态、已完成/待完成节点、节点处理人等信息，实现流程运行的全程可视化监控。</w:t>
            </w:r>
          </w:p>
        </w:tc>
      </w:tr>
      <w:tr w14:paraId="313A4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DD557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82</w:t>
            </w:r>
          </w:p>
        </w:tc>
        <w:tc>
          <w:tcPr>
            <w:tcW w:w="997" w:type="dxa"/>
            <w:vMerge w:val="continue"/>
            <w:shd w:val="clear" w:color="auto" w:fill="auto"/>
            <w:vAlign w:val="center"/>
          </w:tcPr>
          <w:p w14:paraId="0A9AF8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A9261B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1AA679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197855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任务中心</w:t>
            </w:r>
          </w:p>
        </w:tc>
        <w:tc>
          <w:tcPr>
            <w:tcW w:w="5050" w:type="dxa"/>
            <w:shd w:val="clear" w:color="auto" w:fill="auto"/>
            <w:vAlign w:val="center"/>
          </w:tcPr>
          <w:p w14:paraId="3E3F41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提供所有待办、已办、在办任务的统一列表展示，支持任务名称、流程类型、派发时间等多条件模糊查询，实现任务的精准查找。</w:t>
            </w:r>
          </w:p>
        </w:tc>
      </w:tr>
      <w:tr w14:paraId="110A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718A4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83</w:t>
            </w:r>
          </w:p>
        </w:tc>
        <w:tc>
          <w:tcPr>
            <w:tcW w:w="997" w:type="dxa"/>
            <w:vMerge w:val="continue"/>
            <w:shd w:val="clear" w:color="auto" w:fill="auto"/>
            <w:vAlign w:val="center"/>
          </w:tcPr>
          <w:p w14:paraId="75DBEA3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03EB67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4F8638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12FFBF8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A1FCF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支持待办任务的在线审批处理，可上传现场核查附件、填写审批意见，集成流程图查看、任务日志追溯功能，实现任务处理的全信息支撑。</w:t>
            </w:r>
          </w:p>
        </w:tc>
      </w:tr>
      <w:tr w14:paraId="67C9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8D0D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84</w:t>
            </w:r>
          </w:p>
        </w:tc>
        <w:tc>
          <w:tcPr>
            <w:tcW w:w="997" w:type="dxa"/>
            <w:vMerge w:val="continue"/>
            <w:shd w:val="clear" w:color="auto" w:fill="auto"/>
            <w:vAlign w:val="center"/>
          </w:tcPr>
          <w:p w14:paraId="7DE29E4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41B7B8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414C10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342D509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9F8A3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支持对所有在办任务的全程追踪，可实时查看任务当前节点、处理进度、处理人、处理时间等信息，实现任务运行的全程监控，确保任务按时办结。</w:t>
            </w:r>
          </w:p>
        </w:tc>
      </w:tr>
      <w:tr w14:paraId="4F68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1" w:hRule="atLeast"/>
          <w:jc w:val="center"/>
        </w:trPr>
        <w:tc>
          <w:tcPr>
            <w:tcW w:w="694" w:type="dxa"/>
            <w:shd w:val="clear" w:color="auto" w:fill="auto"/>
            <w:noWrap/>
            <w:vAlign w:val="center"/>
          </w:tcPr>
          <w:p w14:paraId="6D6147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85</w:t>
            </w:r>
          </w:p>
        </w:tc>
        <w:tc>
          <w:tcPr>
            <w:tcW w:w="997" w:type="dxa"/>
            <w:vMerge w:val="continue"/>
            <w:shd w:val="clear" w:color="auto" w:fill="auto"/>
            <w:vAlign w:val="center"/>
          </w:tcPr>
          <w:p w14:paraId="44E76D0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760191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C6064F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41C18D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A2CFF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流程类型、处理组织、处理人、时间周期等维度进行任务统计分析，提供任务办结率、逾期率、处理耗时等核心指标统计，为流程优化、人员考核提供数据支撑。</w:t>
            </w:r>
          </w:p>
        </w:tc>
      </w:tr>
      <w:tr w14:paraId="5020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C3EC9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86</w:t>
            </w:r>
          </w:p>
        </w:tc>
        <w:tc>
          <w:tcPr>
            <w:tcW w:w="997" w:type="dxa"/>
            <w:vMerge w:val="continue"/>
            <w:shd w:val="clear" w:color="auto" w:fill="auto"/>
            <w:vAlign w:val="center"/>
          </w:tcPr>
          <w:p w14:paraId="1FDDB59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175741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restart"/>
            <w:shd w:val="clear" w:color="auto" w:fill="auto"/>
            <w:vAlign w:val="center"/>
          </w:tcPr>
          <w:p w14:paraId="0E9EDB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二三维平台</w:t>
            </w:r>
          </w:p>
        </w:tc>
        <w:tc>
          <w:tcPr>
            <w:tcW w:w="987" w:type="dxa"/>
            <w:shd w:val="clear" w:color="auto" w:fill="auto"/>
            <w:vAlign w:val="center"/>
          </w:tcPr>
          <w:p w14:paraId="09DFF9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基础信息设置</w:t>
            </w:r>
          </w:p>
        </w:tc>
        <w:tc>
          <w:tcPr>
            <w:tcW w:w="5050" w:type="dxa"/>
            <w:shd w:val="clear" w:color="auto" w:fill="auto"/>
            <w:vAlign w:val="center"/>
          </w:tcPr>
          <w:p w14:paraId="111FC9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对专题图名称、描述、封面、初始视角进行设置</w:t>
            </w:r>
          </w:p>
        </w:tc>
      </w:tr>
      <w:tr w14:paraId="247C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231F9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87</w:t>
            </w:r>
          </w:p>
        </w:tc>
        <w:tc>
          <w:tcPr>
            <w:tcW w:w="997" w:type="dxa"/>
            <w:vMerge w:val="continue"/>
            <w:shd w:val="clear" w:color="auto" w:fill="auto"/>
            <w:vAlign w:val="center"/>
          </w:tcPr>
          <w:p w14:paraId="38500FA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02A45A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2BBB52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7C9C2F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图层管理</w:t>
            </w:r>
          </w:p>
        </w:tc>
        <w:tc>
          <w:tcPr>
            <w:tcW w:w="5050" w:type="dxa"/>
            <w:shd w:val="clear" w:color="auto" w:fill="auto"/>
            <w:vAlign w:val="center"/>
          </w:tcPr>
          <w:p w14:paraId="6E469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图层树添加图层目录,图层树添加数据服务</w:t>
            </w:r>
          </w:p>
        </w:tc>
      </w:tr>
      <w:tr w14:paraId="52CB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3B864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88</w:t>
            </w:r>
          </w:p>
        </w:tc>
        <w:tc>
          <w:tcPr>
            <w:tcW w:w="997" w:type="dxa"/>
            <w:vMerge w:val="continue"/>
            <w:shd w:val="clear" w:color="auto" w:fill="auto"/>
            <w:vAlign w:val="center"/>
          </w:tcPr>
          <w:p w14:paraId="155F5E9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25CE21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14AB6E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628180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36915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对图层目录、图层名称进行重命名,拖拽图层对图层树进行排序</w:t>
            </w:r>
          </w:p>
        </w:tc>
      </w:tr>
      <w:tr w14:paraId="308D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C0639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89</w:t>
            </w:r>
          </w:p>
        </w:tc>
        <w:tc>
          <w:tcPr>
            <w:tcW w:w="997" w:type="dxa"/>
            <w:vMerge w:val="continue"/>
            <w:shd w:val="clear" w:color="auto" w:fill="auto"/>
            <w:vAlign w:val="center"/>
          </w:tcPr>
          <w:p w14:paraId="7802BD3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CC2673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EBE827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183F196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7969D6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对矢量数据图斑查看权限进行控制,对图层图例、符号样式、标签等进行设置</w:t>
            </w:r>
          </w:p>
        </w:tc>
      </w:tr>
      <w:tr w14:paraId="21DC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0F93C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90</w:t>
            </w:r>
          </w:p>
        </w:tc>
        <w:tc>
          <w:tcPr>
            <w:tcW w:w="997" w:type="dxa"/>
            <w:vMerge w:val="continue"/>
            <w:shd w:val="clear" w:color="auto" w:fill="auto"/>
            <w:vAlign w:val="center"/>
          </w:tcPr>
          <w:p w14:paraId="0096884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81A430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DE32A6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E40848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79E6B6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查看图层基础信息，并对图斑属性信息查看进行设置</w:t>
            </w:r>
          </w:p>
        </w:tc>
      </w:tr>
      <w:tr w14:paraId="2C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F6B8C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91</w:t>
            </w:r>
          </w:p>
        </w:tc>
        <w:tc>
          <w:tcPr>
            <w:tcW w:w="997" w:type="dxa"/>
            <w:vMerge w:val="continue"/>
            <w:shd w:val="clear" w:color="auto" w:fill="auto"/>
            <w:vAlign w:val="center"/>
          </w:tcPr>
          <w:p w14:paraId="7DFFD15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6DAE30D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FC2E24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33565C8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AFFC6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修改图层初始定位视角,配置图层服务关联的个性化数据模型</w:t>
            </w:r>
          </w:p>
        </w:tc>
      </w:tr>
      <w:tr w14:paraId="0668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D62B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92</w:t>
            </w:r>
          </w:p>
        </w:tc>
        <w:tc>
          <w:tcPr>
            <w:tcW w:w="997" w:type="dxa"/>
            <w:vMerge w:val="continue"/>
            <w:shd w:val="clear" w:color="auto" w:fill="auto"/>
            <w:vAlign w:val="center"/>
          </w:tcPr>
          <w:p w14:paraId="59F4DC4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C14B61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B1F0C4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9438A8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75C2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查看图层的服务基本信息，可更改源数据,删除图层，支持批量删除</w:t>
            </w:r>
          </w:p>
        </w:tc>
      </w:tr>
      <w:tr w14:paraId="6912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DC346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93</w:t>
            </w:r>
          </w:p>
        </w:tc>
        <w:tc>
          <w:tcPr>
            <w:tcW w:w="997" w:type="dxa"/>
            <w:vMerge w:val="continue"/>
            <w:shd w:val="clear" w:color="auto" w:fill="auto"/>
            <w:vAlign w:val="center"/>
          </w:tcPr>
          <w:p w14:paraId="07D1E06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B52D71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C56208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2DC8138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BE013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控制图层在地图上是否显示,拖拽图层调整其在地图上显示的顺序</w:t>
            </w:r>
          </w:p>
        </w:tc>
      </w:tr>
      <w:tr w14:paraId="041C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A22BB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94</w:t>
            </w:r>
          </w:p>
        </w:tc>
        <w:tc>
          <w:tcPr>
            <w:tcW w:w="997" w:type="dxa"/>
            <w:vMerge w:val="continue"/>
            <w:shd w:val="clear" w:color="auto" w:fill="auto"/>
            <w:vAlign w:val="center"/>
          </w:tcPr>
          <w:p w14:paraId="0DBC45C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0D4D4E0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A57376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586B67D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181053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专题图快速定位到图层位置,查看图层属性表,调节图层在地图上显示的透明度</w:t>
            </w:r>
          </w:p>
        </w:tc>
      </w:tr>
      <w:tr w14:paraId="2B22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17301B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95</w:t>
            </w:r>
          </w:p>
        </w:tc>
        <w:tc>
          <w:tcPr>
            <w:tcW w:w="997" w:type="dxa"/>
            <w:vMerge w:val="continue"/>
            <w:shd w:val="clear" w:color="auto" w:fill="auto"/>
            <w:vAlign w:val="center"/>
          </w:tcPr>
          <w:p w14:paraId="08BE18F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62A53F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EF9D07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shd w:val="clear" w:color="auto" w:fill="auto"/>
            <w:vAlign w:val="center"/>
          </w:tcPr>
          <w:p w14:paraId="7A5C50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底图配置</w:t>
            </w:r>
          </w:p>
        </w:tc>
        <w:tc>
          <w:tcPr>
            <w:tcW w:w="5050" w:type="dxa"/>
            <w:shd w:val="clear" w:color="auto" w:fill="auto"/>
            <w:vAlign w:val="center"/>
          </w:tcPr>
          <w:p w14:paraId="70DC35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设置在专题图加载的公网或系统提供的地图、影像、地形数据</w:t>
            </w:r>
          </w:p>
        </w:tc>
      </w:tr>
      <w:tr w14:paraId="0023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08205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96</w:t>
            </w:r>
          </w:p>
        </w:tc>
        <w:tc>
          <w:tcPr>
            <w:tcW w:w="997" w:type="dxa"/>
            <w:vMerge w:val="continue"/>
            <w:shd w:val="clear" w:color="auto" w:fill="auto"/>
            <w:vAlign w:val="center"/>
          </w:tcPr>
          <w:p w14:paraId="1489836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5129B5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3D9D85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4EA9B2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基础功能</w:t>
            </w:r>
          </w:p>
        </w:tc>
        <w:tc>
          <w:tcPr>
            <w:tcW w:w="5050" w:type="dxa"/>
            <w:shd w:val="clear" w:color="auto" w:fill="auto"/>
            <w:vAlign w:val="center"/>
          </w:tcPr>
          <w:p w14:paraId="0509F2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通过地名处快速定位地点</w:t>
            </w:r>
          </w:p>
        </w:tc>
      </w:tr>
      <w:tr w14:paraId="1AC1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675D0C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97</w:t>
            </w:r>
          </w:p>
        </w:tc>
        <w:tc>
          <w:tcPr>
            <w:tcW w:w="997" w:type="dxa"/>
            <w:vMerge w:val="continue"/>
            <w:shd w:val="clear" w:color="auto" w:fill="auto"/>
            <w:vAlign w:val="center"/>
          </w:tcPr>
          <w:p w14:paraId="73C3583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CF71FD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D14CFB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2CF1A61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207B14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测量多点间直线距离及总距离,所选范围的投影面积</w:t>
            </w:r>
          </w:p>
        </w:tc>
      </w:tr>
      <w:tr w14:paraId="6247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F156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98</w:t>
            </w:r>
          </w:p>
        </w:tc>
        <w:tc>
          <w:tcPr>
            <w:tcW w:w="997" w:type="dxa"/>
            <w:vMerge w:val="continue"/>
            <w:shd w:val="clear" w:color="auto" w:fill="auto"/>
            <w:vAlign w:val="center"/>
          </w:tcPr>
          <w:p w14:paraId="5409DC3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4EC436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DA4D81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327AF9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5338D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拾取专题图中所选点的坐标信息</w:t>
            </w:r>
          </w:p>
        </w:tc>
      </w:tr>
      <w:tr w14:paraId="60B70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984C9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99</w:t>
            </w:r>
          </w:p>
        </w:tc>
        <w:tc>
          <w:tcPr>
            <w:tcW w:w="997" w:type="dxa"/>
            <w:vMerge w:val="continue"/>
            <w:shd w:val="clear" w:color="auto" w:fill="auto"/>
            <w:vAlign w:val="center"/>
          </w:tcPr>
          <w:p w14:paraId="2DB5DA5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1C853A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916C92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11DDEB3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03800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通过经纬度快速定位地点,查看不同时期的历史影像地图</w:t>
            </w:r>
          </w:p>
        </w:tc>
      </w:tr>
      <w:tr w14:paraId="6055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2D311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100</w:t>
            </w:r>
          </w:p>
        </w:tc>
        <w:tc>
          <w:tcPr>
            <w:tcW w:w="997" w:type="dxa"/>
            <w:vMerge w:val="continue"/>
            <w:shd w:val="clear" w:color="auto" w:fill="auto"/>
            <w:vAlign w:val="center"/>
          </w:tcPr>
          <w:p w14:paraId="3459CAC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83A617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06EAB9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0A944B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8592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左右分屏对比两张专题图,左右分屏对比图层</w:t>
            </w:r>
          </w:p>
        </w:tc>
      </w:tr>
      <w:tr w14:paraId="324E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0A76D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101</w:t>
            </w:r>
          </w:p>
        </w:tc>
        <w:tc>
          <w:tcPr>
            <w:tcW w:w="997" w:type="dxa"/>
            <w:vMerge w:val="continue"/>
            <w:shd w:val="clear" w:color="auto" w:fill="auto"/>
            <w:vAlign w:val="center"/>
          </w:tcPr>
          <w:p w14:paraId="181BBCD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228C07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A68A33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63A72C2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96E71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快速定位到兴趣位置,查看地图框中所显示的地图在整个图中的位置</w:t>
            </w:r>
          </w:p>
        </w:tc>
      </w:tr>
      <w:tr w14:paraId="3AC1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2BC15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102</w:t>
            </w:r>
          </w:p>
        </w:tc>
        <w:tc>
          <w:tcPr>
            <w:tcW w:w="997" w:type="dxa"/>
            <w:vMerge w:val="continue"/>
            <w:shd w:val="clear" w:color="auto" w:fill="auto"/>
            <w:vAlign w:val="center"/>
          </w:tcPr>
          <w:p w14:paraId="147F308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C3564F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BCBACE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61657D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空间分析</w:t>
            </w:r>
          </w:p>
        </w:tc>
        <w:tc>
          <w:tcPr>
            <w:tcW w:w="5050" w:type="dxa"/>
            <w:shd w:val="clear" w:color="auto" w:fill="auto"/>
            <w:vAlign w:val="center"/>
          </w:tcPr>
          <w:p w14:paraId="2D5FE0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绘制或导入范围内，空间数据及其属性查询</w:t>
            </w:r>
          </w:p>
        </w:tc>
      </w:tr>
      <w:tr w14:paraId="3B68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34D83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103</w:t>
            </w:r>
          </w:p>
        </w:tc>
        <w:tc>
          <w:tcPr>
            <w:tcW w:w="997" w:type="dxa"/>
            <w:vMerge w:val="continue"/>
            <w:shd w:val="clear" w:color="auto" w:fill="auto"/>
            <w:vAlign w:val="center"/>
          </w:tcPr>
          <w:p w14:paraId="74AE66F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62F8FE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4D427A1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0EC9720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2F40ED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缓冲区范围内，空间数据及其属性查询</w:t>
            </w:r>
          </w:p>
        </w:tc>
      </w:tr>
      <w:tr w14:paraId="5590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4A51F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104</w:t>
            </w:r>
          </w:p>
        </w:tc>
        <w:tc>
          <w:tcPr>
            <w:tcW w:w="997" w:type="dxa"/>
            <w:vMerge w:val="continue"/>
            <w:shd w:val="clear" w:color="auto" w:fill="auto"/>
            <w:vAlign w:val="center"/>
          </w:tcPr>
          <w:p w14:paraId="6F21052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343F96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51A39DF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32E9AE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地图管理组件</w:t>
            </w:r>
          </w:p>
        </w:tc>
        <w:tc>
          <w:tcPr>
            <w:tcW w:w="5050" w:type="dxa"/>
            <w:shd w:val="clear" w:color="auto" w:fill="auto"/>
            <w:vAlign w:val="center"/>
          </w:tcPr>
          <w:p w14:paraId="7048F6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将移动后的专题图恢复初始视角</w:t>
            </w:r>
          </w:p>
        </w:tc>
      </w:tr>
      <w:tr w14:paraId="016E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D4888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105</w:t>
            </w:r>
          </w:p>
        </w:tc>
        <w:tc>
          <w:tcPr>
            <w:tcW w:w="997" w:type="dxa"/>
            <w:vMerge w:val="continue"/>
            <w:shd w:val="clear" w:color="auto" w:fill="auto"/>
            <w:vAlign w:val="center"/>
          </w:tcPr>
          <w:p w14:paraId="1ECC3DA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B520B8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684712B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798C1DA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6721AB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放大/缩小地图，全屏展示模式，下载当前专题图截图</w:t>
            </w:r>
          </w:p>
        </w:tc>
      </w:tr>
      <w:tr w14:paraId="733B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574BA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106</w:t>
            </w:r>
          </w:p>
        </w:tc>
        <w:tc>
          <w:tcPr>
            <w:tcW w:w="997" w:type="dxa"/>
            <w:vMerge w:val="continue"/>
            <w:shd w:val="clear" w:color="auto" w:fill="auto"/>
            <w:vAlign w:val="center"/>
          </w:tcPr>
          <w:p w14:paraId="4FF8674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13FBAAA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7BE0F6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54438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移动地图</w:t>
            </w:r>
          </w:p>
        </w:tc>
        <w:tc>
          <w:tcPr>
            <w:tcW w:w="5050" w:type="dxa"/>
            <w:shd w:val="clear" w:color="auto" w:fill="auto"/>
            <w:vAlign w:val="center"/>
          </w:tcPr>
          <w:p w14:paraId="2C8168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支持图层显隐控制、图层定位、属性表查询等操作</w:t>
            </w:r>
          </w:p>
        </w:tc>
      </w:tr>
      <w:tr w14:paraId="217E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5985BB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107</w:t>
            </w:r>
          </w:p>
        </w:tc>
        <w:tc>
          <w:tcPr>
            <w:tcW w:w="997" w:type="dxa"/>
            <w:vMerge w:val="continue"/>
            <w:shd w:val="clear" w:color="auto" w:fill="auto"/>
            <w:vAlign w:val="center"/>
          </w:tcPr>
          <w:p w14:paraId="32180E6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CBCB3A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16A1917E">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59BA336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22EC44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对图斑属性进行查看，专题图定位至设备当前位置</w:t>
            </w:r>
          </w:p>
        </w:tc>
      </w:tr>
      <w:tr w14:paraId="70FC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96CE7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108</w:t>
            </w:r>
          </w:p>
        </w:tc>
        <w:tc>
          <w:tcPr>
            <w:tcW w:w="997" w:type="dxa"/>
            <w:vMerge w:val="continue"/>
            <w:shd w:val="clear" w:color="auto" w:fill="auto"/>
            <w:vAlign w:val="center"/>
          </w:tcPr>
          <w:p w14:paraId="5B0585A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6239D4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3517C2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2D11E6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专题图管理</w:t>
            </w:r>
          </w:p>
        </w:tc>
        <w:tc>
          <w:tcPr>
            <w:tcW w:w="5050" w:type="dxa"/>
            <w:shd w:val="clear" w:color="auto" w:fill="auto"/>
            <w:vAlign w:val="center"/>
          </w:tcPr>
          <w:p w14:paraId="647A77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新建专题图，查询自己有权限的专题图</w:t>
            </w:r>
          </w:p>
        </w:tc>
      </w:tr>
      <w:tr w14:paraId="12C9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F563E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109</w:t>
            </w:r>
          </w:p>
        </w:tc>
        <w:tc>
          <w:tcPr>
            <w:tcW w:w="997" w:type="dxa"/>
            <w:vMerge w:val="continue"/>
            <w:shd w:val="clear" w:color="auto" w:fill="auto"/>
            <w:vAlign w:val="center"/>
          </w:tcPr>
          <w:p w14:paraId="589C639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734DF91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0AC31D4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A47412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74B27B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编辑修改专题图，为系统用户分配专题图的浏览/编辑权限</w:t>
            </w:r>
          </w:p>
        </w:tc>
      </w:tr>
      <w:tr w14:paraId="12AE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3ED2A8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110</w:t>
            </w:r>
          </w:p>
        </w:tc>
        <w:tc>
          <w:tcPr>
            <w:tcW w:w="997" w:type="dxa"/>
            <w:vMerge w:val="continue"/>
            <w:shd w:val="clear" w:color="auto" w:fill="auto"/>
            <w:vAlign w:val="center"/>
          </w:tcPr>
          <w:p w14:paraId="04FE81A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2C2D35E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367602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4581CC8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47FD15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复制该专题图，删除专题图</w:t>
            </w:r>
          </w:p>
        </w:tc>
      </w:tr>
      <w:tr w14:paraId="509E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27B9D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111</w:t>
            </w:r>
          </w:p>
        </w:tc>
        <w:tc>
          <w:tcPr>
            <w:tcW w:w="997" w:type="dxa"/>
            <w:vMerge w:val="continue"/>
            <w:shd w:val="clear" w:color="auto" w:fill="auto"/>
            <w:vAlign w:val="center"/>
          </w:tcPr>
          <w:p w14:paraId="31FAAE1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4BAC7F7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C4D1E3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restart"/>
            <w:shd w:val="clear" w:color="auto" w:fill="auto"/>
            <w:vAlign w:val="center"/>
          </w:tcPr>
          <w:p w14:paraId="0BB9FA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资源管理</w:t>
            </w:r>
          </w:p>
        </w:tc>
        <w:tc>
          <w:tcPr>
            <w:tcW w:w="5050" w:type="dxa"/>
            <w:shd w:val="clear" w:color="auto" w:fill="auto"/>
            <w:vAlign w:val="center"/>
          </w:tcPr>
          <w:p w14:paraId="1E195B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自定义服务资源目录，并对目录进行统一管理，将服务资源注册到平台进行统一管理</w:t>
            </w:r>
          </w:p>
        </w:tc>
      </w:tr>
      <w:tr w14:paraId="1DCF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29D600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112</w:t>
            </w:r>
          </w:p>
        </w:tc>
        <w:tc>
          <w:tcPr>
            <w:tcW w:w="997" w:type="dxa"/>
            <w:vMerge w:val="continue"/>
            <w:shd w:val="clear" w:color="auto" w:fill="auto"/>
            <w:vAlign w:val="center"/>
          </w:tcPr>
          <w:p w14:paraId="51F2C8F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5B9104E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7B1938A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0364F562">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38707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将第三方地图服务器的服务资源批量注册到平台进行统一管理</w:t>
            </w:r>
          </w:p>
        </w:tc>
      </w:tr>
      <w:tr w14:paraId="401D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731145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113</w:t>
            </w:r>
          </w:p>
        </w:tc>
        <w:tc>
          <w:tcPr>
            <w:tcW w:w="997" w:type="dxa"/>
            <w:vMerge w:val="continue"/>
            <w:shd w:val="clear" w:color="auto" w:fill="auto"/>
            <w:vAlign w:val="center"/>
          </w:tcPr>
          <w:p w14:paraId="5A9F897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BE056C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3F01955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03F5FE7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5C64E7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对服务进行快速预览，管理已注册/发布的服务，连接第三方地图服务器，并进行统一管理</w:t>
            </w:r>
          </w:p>
        </w:tc>
      </w:tr>
      <w:tr w14:paraId="222E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94" w:type="dxa"/>
            <w:shd w:val="clear" w:color="auto" w:fill="auto"/>
            <w:noWrap/>
            <w:vAlign w:val="center"/>
          </w:tcPr>
          <w:p w14:paraId="602446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114</w:t>
            </w:r>
          </w:p>
        </w:tc>
        <w:tc>
          <w:tcPr>
            <w:tcW w:w="997" w:type="dxa"/>
            <w:vMerge w:val="continue"/>
            <w:shd w:val="clear" w:color="auto" w:fill="auto"/>
            <w:vAlign w:val="center"/>
          </w:tcPr>
          <w:p w14:paraId="7577556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737" w:type="dxa"/>
            <w:vMerge w:val="continue"/>
            <w:shd w:val="clear" w:color="auto" w:fill="auto"/>
            <w:vAlign w:val="center"/>
          </w:tcPr>
          <w:p w14:paraId="3E3A1AE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688" w:type="dxa"/>
            <w:vMerge w:val="continue"/>
            <w:shd w:val="clear" w:color="auto" w:fill="auto"/>
            <w:vAlign w:val="center"/>
          </w:tcPr>
          <w:p w14:paraId="28A1BE4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987" w:type="dxa"/>
            <w:vMerge w:val="continue"/>
            <w:shd w:val="clear" w:color="auto" w:fill="auto"/>
            <w:vAlign w:val="center"/>
          </w:tcPr>
          <w:p w14:paraId="5D68733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highlight w:val="none"/>
                <w:u w:val="none"/>
              </w:rPr>
            </w:pPr>
          </w:p>
        </w:tc>
        <w:tc>
          <w:tcPr>
            <w:tcW w:w="5050" w:type="dxa"/>
            <w:shd w:val="clear" w:color="auto" w:fill="auto"/>
            <w:vAlign w:val="center"/>
          </w:tcPr>
          <w:p w14:paraId="4AD748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将处理过后的数据上传至平台，并进行服务发布及管理，上传图标，并对图标进行分类管理</w:t>
            </w:r>
          </w:p>
        </w:tc>
      </w:tr>
      <w:tr w14:paraId="235A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B7981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115</w:t>
            </w:r>
          </w:p>
        </w:tc>
        <w:tc>
          <w:tcPr>
            <w:tcW w:w="997" w:type="dxa"/>
            <w:shd w:val="clear" w:color="auto" w:fill="auto"/>
            <w:vAlign w:val="center"/>
          </w:tcPr>
          <w:p w14:paraId="48F129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里程碑6：成果报告编制</w:t>
            </w:r>
          </w:p>
        </w:tc>
        <w:tc>
          <w:tcPr>
            <w:tcW w:w="737" w:type="dxa"/>
            <w:shd w:val="clear" w:color="auto" w:fill="auto"/>
            <w:vAlign w:val="center"/>
          </w:tcPr>
          <w:p w14:paraId="09DD90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成果报告编制</w:t>
            </w:r>
          </w:p>
        </w:tc>
        <w:tc>
          <w:tcPr>
            <w:tcW w:w="6725" w:type="dxa"/>
            <w:gridSpan w:val="3"/>
            <w:shd w:val="clear" w:color="auto" w:fill="auto"/>
            <w:vAlign w:val="center"/>
          </w:tcPr>
          <w:p w14:paraId="4AD3B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矢量数据“.shp”格式。文档，电子版（docx格式）/纸质版。开展内业数据编辑整理及报告编制。报告提供道路结构物形变情况和风险分级结果等信息，便于相关部门分析和决策。成果可选择以电子版（docx格式）或纸质版形式提供（含打印费）。月度报告，2026年6~12月每月提供1期，共7期，年度提供年度总结报告1份。</w:t>
            </w:r>
          </w:p>
        </w:tc>
      </w:tr>
      <w:tr w14:paraId="1617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4" w:type="dxa"/>
            <w:shd w:val="clear" w:color="auto" w:fill="auto"/>
            <w:noWrap/>
            <w:vAlign w:val="center"/>
          </w:tcPr>
          <w:p w14:paraId="04E20C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116</w:t>
            </w:r>
          </w:p>
        </w:tc>
        <w:tc>
          <w:tcPr>
            <w:tcW w:w="997" w:type="dxa"/>
            <w:shd w:val="clear" w:color="auto" w:fill="auto"/>
            <w:vAlign w:val="center"/>
          </w:tcPr>
          <w:p w14:paraId="25F14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其他</w:t>
            </w:r>
          </w:p>
        </w:tc>
        <w:tc>
          <w:tcPr>
            <w:tcW w:w="737" w:type="dxa"/>
            <w:shd w:val="clear" w:color="auto" w:fill="auto"/>
            <w:vAlign w:val="center"/>
          </w:tcPr>
          <w:p w14:paraId="07F80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知识产权归属</w:t>
            </w:r>
          </w:p>
        </w:tc>
        <w:tc>
          <w:tcPr>
            <w:tcW w:w="6725" w:type="dxa"/>
            <w:gridSpan w:val="3"/>
            <w:shd w:val="clear" w:color="auto" w:fill="auto"/>
            <w:vAlign w:val="center"/>
          </w:tcPr>
          <w:p w14:paraId="045568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基于本项目履行过程中双方共同研发产生的全部新技术成果（不含双方各自在项目启动前独立拥有的原有知识产权），该成果对应的专利权、软件著作权、技术秘密等全部知识产权由甲乙双方共同共有；双方自行实施使用无需支付费用，对外许可、转让、质押该知识产权须经双方书面一致同意，所得收益由甲乙双方平均分配。</w:t>
            </w:r>
          </w:p>
        </w:tc>
      </w:tr>
    </w:tbl>
    <w:p w14:paraId="2421CA47">
      <w:pPr>
        <w:rPr>
          <w:rFonts w:hint="eastAsia" w:ascii="宋体" w:hAnsi="宋体" w:cs="宋体"/>
          <w:color w:val="auto"/>
          <w:highlight w:val="none"/>
        </w:rPr>
      </w:pPr>
      <w:r>
        <w:rPr>
          <w:rFonts w:hint="eastAsia" w:ascii="宋体" w:hAnsi="宋体" w:cs="宋体"/>
          <w:color w:val="auto"/>
          <w:highlight w:val="none"/>
        </w:rPr>
        <w:br w:type="page"/>
      </w:r>
    </w:p>
    <w:p w14:paraId="148C2BC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二、里程碑工程进度 </w:t>
      </w:r>
    </w:p>
    <w:p w14:paraId="2A09810C">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里程碑1：重庆奉溪高速公路42公里、绕城高速10公里两</w:t>
      </w:r>
      <w:r>
        <w:rPr>
          <w:rFonts w:hint="eastAsia" w:ascii="宋体" w:hAnsi="宋体" w:cs="宋体"/>
          <w:b w:val="0"/>
          <w:bCs w:val="0"/>
          <w:color w:val="auto"/>
          <w:kern w:val="0"/>
          <w:sz w:val="21"/>
          <w:szCs w:val="21"/>
          <w:highlight w:val="none"/>
          <w:lang w:val="en-US" w:eastAsia="zh-CN" w:bidi="ar"/>
        </w:rPr>
        <w:t>段</w:t>
      </w:r>
      <w:r>
        <w:rPr>
          <w:rFonts w:hint="eastAsia" w:ascii="宋体" w:hAnsi="宋体" w:eastAsia="宋体" w:cs="宋体"/>
          <w:b w:val="0"/>
          <w:bCs w:val="0"/>
          <w:color w:val="auto"/>
          <w:kern w:val="0"/>
          <w:sz w:val="21"/>
          <w:szCs w:val="21"/>
          <w:highlight w:val="none"/>
          <w:lang w:val="en-US" w:eastAsia="zh-CN" w:bidi="ar"/>
        </w:rPr>
        <w:t>路的SAR数据及光学遥感影像数据提供</w:t>
      </w:r>
    </w:p>
    <w:p w14:paraId="2773E2EE">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交付时间：2026年08月</w:t>
      </w:r>
      <w:r>
        <w:rPr>
          <w:rFonts w:hint="eastAsia" w:ascii="宋体" w:hAnsi="宋体" w:cs="宋体"/>
          <w:b w:val="0"/>
          <w:bCs w:val="0"/>
          <w:color w:val="auto"/>
          <w:kern w:val="0"/>
          <w:sz w:val="21"/>
          <w:szCs w:val="21"/>
          <w:highlight w:val="none"/>
          <w:lang w:val="en-US" w:eastAsia="zh-CN" w:bidi="ar"/>
        </w:rPr>
        <w:t>15</w:t>
      </w:r>
      <w:r>
        <w:rPr>
          <w:rFonts w:hint="eastAsia" w:ascii="宋体" w:hAnsi="宋体" w:eastAsia="宋体" w:cs="宋体"/>
          <w:b w:val="0"/>
          <w:bCs w:val="0"/>
          <w:color w:val="auto"/>
          <w:kern w:val="0"/>
          <w:sz w:val="21"/>
          <w:szCs w:val="21"/>
          <w:highlight w:val="none"/>
          <w:lang w:val="en-US" w:eastAsia="zh-CN" w:bidi="ar"/>
        </w:rPr>
        <w:t>日</w:t>
      </w:r>
    </w:p>
    <w:p w14:paraId="4A6B4CE7">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09CADBAA">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交付内容：DEM数据1次：“.tiff”格式栅格数据、奉溪高速（42公里）L 波段SAR数据46景（2026年08月01日交付39景，2026年12月31日交付7景）：SLC单视复数数据、奉溪高速（42公里）光学遥感影像：“.tiff”格式栅格数据、绕城高速（10公里）光学遥感影像1期，C波段SAR数据56景。</w:t>
      </w:r>
    </w:p>
    <w:p w14:paraId="575608A7">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阶段性检查的方式与方法：查验数据。</w:t>
      </w:r>
    </w:p>
    <w:p w14:paraId="4C10F797">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07BF8B41">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里程碑2：重庆奉溪高速公路42公里、绕城高速10公里两</w:t>
      </w:r>
      <w:r>
        <w:rPr>
          <w:rFonts w:hint="eastAsia" w:ascii="宋体" w:hAnsi="宋体" w:cs="宋体"/>
          <w:b w:val="0"/>
          <w:bCs w:val="0"/>
          <w:color w:val="auto"/>
          <w:kern w:val="0"/>
          <w:sz w:val="21"/>
          <w:szCs w:val="21"/>
          <w:highlight w:val="none"/>
          <w:lang w:val="en-US" w:eastAsia="zh-CN" w:bidi="ar"/>
        </w:rPr>
        <w:t>段</w:t>
      </w:r>
      <w:r>
        <w:rPr>
          <w:rFonts w:hint="eastAsia" w:ascii="宋体" w:hAnsi="宋体" w:eastAsia="宋体" w:cs="宋体"/>
          <w:b w:val="0"/>
          <w:bCs w:val="0"/>
          <w:color w:val="auto"/>
          <w:kern w:val="0"/>
          <w:sz w:val="21"/>
          <w:szCs w:val="21"/>
          <w:highlight w:val="none"/>
          <w:lang w:val="en-US" w:eastAsia="zh-CN" w:bidi="ar"/>
        </w:rPr>
        <w:t>路的SAR数据及光学遥感影像数据处理及分析</w:t>
      </w:r>
    </w:p>
    <w:p w14:paraId="57638BCD">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交付时间：2026年08月</w:t>
      </w:r>
      <w:r>
        <w:rPr>
          <w:rFonts w:hint="eastAsia" w:ascii="宋体" w:hAnsi="宋体" w:cs="宋体"/>
          <w:b w:val="0"/>
          <w:bCs w:val="0"/>
          <w:color w:val="auto"/>
          <w:kern w:val="0"/>
          <w:sz w:val="21"/>
          <w:szCs w:val="21"/>
          <w:highlight w:val="none"/>
          <w:lang w:val="en-US" w:eastAsia="zh-CN" w:bidi="ar"/>
        </w:rPr>
        <w:t>15</w:t>
      </w:r>
      <w:r>
        <w:rPr>
          <w:rFonts w:hint="eastAsia" w:ascii="宋体" w:hAnsi="宋体" w:eastAsia="宋体" w:cs="宋体"/>
          <w:b w:val="0"/>
          <w:bCs w:val="0"/>
          <w:color w:val="auto"/>
          <w:kern w:val="0"/>
          <w:sz w:val="21"/>
          <w:szCs w:val="21"/>
          <w:highlight w:val="none"/>
          <w:lang w:val="en-US" w:eastAsia="zh-CN" w:bidi="ar"/>
        </w:rPr>
        <w:t>日</w:t>
      </w:r>
    </w:p>
    <w:p w14:paraId="4AA28E27">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2904AF9D">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交付内容：高速公路结构物提取：“.shp”等格式矢量数据、奉溪高速L波段InSAR数据处理：“.shp”等格式矢量数据、K99边坡C波段InSAR数据处理：“.shp”等格式矢量数据。</w:t>
      </w:r>
    </w:p>
    <w:p w14:paraId="40147DC0">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阶段性检查的方式与方法：查验数据。</w:t>
      </w:r>
    </w:p>
    <w:p w14:paraId="0172A9AE">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2E0A3E7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里程碑3：高速公路结构物隐患靶区智能识别模型技术开发服务</w:t>
      </w:r>
    </w:p>
    <w:p w14:paraId="065FB408">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交付时间：2026年09月</w:t>
      </w:r>
      <w:r>
        <w:rPr>
          <w:rFonts w:hint="eastAsia" w:ascii="宋体" w:hAnsi="宋体" w:cs="宋体"/>
          <w:b w:val="0"/>
          <w:bCs w:val="0"/>
          <w:color w:val="auto"/>
          <w:kern w:val="0"/>
          <w:sz w:val="21"/>
          <w:szCs w:val="21"/>
          <w:highlight w:val="none"/>
          <w:lang w:val="en-US" w:eastAsia="zh-CN" w:bidi="ar"/>
        </w:rPr>
        <w:t>10</w:t>
      </w:r>
      <w:r>
        <w:rPr>
          <w:rFonts w:hint="eastAsia" w:ascii="宋体" w:hAnsi="宋体" w:eastAsia="宋体" w:cs="宋体"/>
          <w:b w:val="0"/>
          <w:bCs w:val="0"/>
          <w:color w:val="auto"/>
          <w:kern w:val="0"/>
          <w:sz w:val="21"/>
          <w:szCs w:val="21"/>
          <w:highlight w:val="none"/>
          <w:lang w:val="en-US" w:eastAsia="zh-CN" w:bidi="ar"/>
        </w:rPr>
        <w:t>日</w:t>
      </w:r>
    </w:p>
    <w:p w14:paraId="353D298D">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441AD10B">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交付内容：高速公路结构物隐患靶区智能识别模型1套，隐患识别准确率不低于95%，提供发明专利技术交底书1份，支撑甲方完成1项发明专利申请。</w:t>
      </w:r>
    </w:p>
    <w:p w14:paraId="2BD74806">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阶段性检查的方式与方法：查验文档。</w:t>
      </w:r>
    </w:p>
    <w:p w14:paraId="67AB9F40">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2C535EC1">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里程碑4：高速公路保护线人为违法扰动监测模型技术开发服务</w:t>
      </w:r>
    </w:p>
    <w:p w14:paraId="26D3EC1C">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交付时间：2026年10月30日</w:t>
      </w:r>
    </w:p>
    <w:p w14:paraId="6F2D602B">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1ED42319">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交付内容：高速公路保护线人为违法扰动监测模型1套，可识别违法扰动目标尺寸：违法搭建≥8m*8m，废料堆放≥10m*10m，违法开挖面≥3m*3m，识别准确率不低于90%。</w:t>
      </w:r>
    </w:p>
    <w:p w14:paraId="0DE97FBF">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阶段性检查的方式与方法：查验文档。</w:t>
      </w:r>
    </w:p>
    <w:p w14:paraId="1175C6B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6D23BD8B">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里程碑5：原型平台开发技术服务</w:t>
      </w:r>
    </w:p>
    <w:p w14:paraId="1A189CD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交付时间：2026年12月15日</w:t>
      </w:r>
    </w:p>
    <w:p w14:paraId="246690C8">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216829F6">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交付内容：InSAR风险监测预警原型平台1套，具备多源数据管理、InSAR形变监测、风险智能识别与综合评估等功能，风险漏报率低于5%，误报率控制在10%以内。</w:t>
      </w:r>
    </w:p>
    <w:p w14:paraId="0358836B">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阶段性检查的方式与方法：查验平台及文档。</w:t>
      </w:r>
    </w:p>
    <w:p w14:paraId="7B33F54A">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6B7D1B6B">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里程碑6：成果报告编制</w:t>
      </w:r>
    </w:p>
    <w:p w14:paraId="59C95423">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交付时间：2026年12月31日</w:t>
      </w:r>
    </w:p>
    <w:p w14:paraId="31145657">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201E48B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交付内容：成果报告文档</w:t>
      </w:r>
    </w:p>
    <w:p w14:paraId="110DDA28">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阶段性检查的方式与方法：查验文档、平台及模型运行情况。</w:t>
      </w:r>
    </w:p>
    <w:p w14:paraId="6564CA4F">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p>
    <w:p w14:paraId="3C038220">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里程碑7：平台/模型稳定运行6月</w:t>
      </w:r>
    </w:p>
    <w:p w14:paraId="4AEE5781">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交付时间：2027年06月01日</w:t>
      </w:r>
    </w:p>
    <w:p w14:paraId="79CF41F9">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交付地点：重庆首讯科技股份有限公司</w:t>
      </w:r>
    </w:p>
    <w:p w14:paraId="62BE2EF6">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交付内容：无</w:t>
      </w:r>
    </w:p>
    <w:p w14:paraId="49AB8E4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阶段性检查的方式与方法：查验平台及模型运行情况。</w:t>
      </w:r>
      <w:r>
        <w:rPr>
          <w:rFonts w:hint="eastAsia" w:ascii="仿宋" w:hAnsi="仿宋" w:eastAsia="仿宋" w:cs="仿宋"/>
          <w:b w:val="0"/>
          <w:bCs w:val="0"/>
          <w:color w:val="auto"/>
          <w:kern w:val="0"/>
          <w:sz w:val="24"/>
          <w:szCs w:val="24"/>
          <w:highlight w:val="none"/>
          <w:lang w:val="en-US" w:eastAsia="zh-CN" w:bidi="ar"/>
        </w:rPr>
        <w:t xml:space="preserve"> </w:t>
      </w:r>
    </w:p>
    <w:p w14:paraId="515B0E4A">
      <w:pPr>
        <w:pStyle w:val="2"/>
        <w:rPr>
          <w:color w:val="auto"/>
          <w:highlight w:val="none"/>
        </w:rPr>
      </w:pPr>
    </w:p>
    <w:p w14:paraId="7C29394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1"/>
        <w:rPr>
          <w:rFonts w:hint="default" w:ascii="宋体" w:hAnsi="宋体" w:eastAsia="宋体" w:cs="宋体"/>
          <w:b/>
          <w:color w:val="auto"/>
          <w:sz w:val="21"/>
          <w:szCs w:val="21"/>
          <w:highlight w:val="none"/>
          <w:lang w:val="en-US"/>
        </w:rPr>
      </w:pPr>
      <w:r>
        <w:rPr>
          <w:rFonts w:hint="eastAsia" w:ascii="宋体" w:hAnsi="宋体" w:cs="宋体"/>
          <w:b/>
          <w:color w:val="auto"/>
          <w:sz w:val="21"/>
          <w:szCs w:val="21"/>
          <w:highlight w:val="none"/>
          <w:lang w:val="en-US" w:eastAsia="zh-CN"/>
        </w:rPr>
        <w:t>三</w:t>
      </w:r>
      <w:r>
        <w:rPr>
          <w:rFonts w:hint="eastAsia" w:ascii="宋体" w:hAnsi="宋体" w:eastAsia="宋体" w:cs="宋体"/>
          <w:b/>
          <w:color w:val="auto"/>
          <w:sz w:val="21"/>
          <w:szCs w:val="21"/>
          <w:highlight w:val="none"/>
          <w:lang w:val="en-US" w:eastAsia="zh-CN"/>
        </w:rPr>
        <w:t>、其他内容：详见本项目“第五章  合同范本”</w:t>
      </w:r>
    </w:p>
    <w:p w14:paraId="6A3CE392">
      <w:pPr>
        <w:pStyle w:val="19"/>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1" w:name="_Toc9951"/>
      <w:bookmarkStart w:id="192" w:name="_Toc17525"/>
      <w:r>
        <w:rPr>
          <w:rFonts w:hint="eastAsia" w:ascii="宋体" w:hAnsi="宋体" w:cs="宋体"/>
          <w:b/>
          <w:bCs/>
          <w:color w:val="auto"/>
          <w:kern w:val="44"/>
          <w:sz w:val="44"/>
          <w:szCs w:val="44"/>
          <w:highlight w:val="none"/>
        </w:rPr>
        <w:t xml:space="preserve">第五章  </w:t>
      </w:r>
      <w:bookmarkEnd w:id="180"/>
      <w:bookmarkEnd w:id="181"/>
      <w:bookmarkEnd w:id="182"/>
      <w:r>
        <w:rPr>
          <w:rFonts w:hint="eastAsia" w:ascii="宋体" w:hAnsi="宋体" w:cs="宋体"/>
          <w:b/>
          <w:bCs/>
          <w:color w:val="auto"/>
          <w:kern w:val="44"/>
          <w:sz w:val="44"/>
          <w:szCs w:val="44"/>
          <w:highlight w:val="none"/>
        </w:rPr>
        <w:t>合同范本</w:t>
      </w:r>
      <w:bookmarkEnd w:id="191"/>
      <w:bookmarkEnd w:id="192"/>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3" w:name="_Toc513633965"/>
    </w:p>
    <w:p w14:paraId="4AC54C7D">
      <w:pPr>
        <w:rPr>
          <w:rFonts w:hint="eastAsia" w:ascii="宋体" w:hAnsi="宋体" w:cs="宋体"/>
          <w:color w:val="auto"/>
          <w:highlight w:val="none"/>
        </w:rPr>
      </w:pPr>
    </w:p>
    <w:p w14:paraId="0E144722">
      <w:pPr>
        <w:pStyle w:val="4"/>
        <w:spacing w:before="0" w:after="0" w:line="360" w:lineRule="auto"/>
        <w:jc w:val="center"/>
        <w:rPr>
          <w:rFonts w:hint="eastAsia" w:ascii="宋体" w:hAnsi="宋体" w:cs="宋体"/>
          <w:color w:val="auto"/>
          <w:highlight w:val="none"/>
        </w:rPr>
      </w:pPr>
      <w:bookmarkStart w:id="194" w:name="_Toc11571"/>
      <w:bookmarkStart w:id="195" w:name="_Toc2000413"/>
      <w:bookmarkStart w:id="196" w:name="_Toc27626"/>
      <w:bookmarkStart w:id="197" w:name="_Toc514858709"/>
      <w:r>
        <w:rPr>
          <w:rFonts w:hint="eastAsia" w:ascii="宋体" w:hAnsi="宋体" w:cs="宋体"/>
          <w:color w:val="auto"/>
          <w:highlight w:val="none"/>
        </w:rPr>
        <w:t>第六章  竞争性比选响应文件格式</w:t>
      </w:r>
      <w:bookmarkEnd w:id="193"/>
      <w:bookmarkEnd w:id="194"/>
      <w:bookmarkEnd w:id="195"/>
      <w:bookmarkEnd w:id="196"/>
      <w:bookmarkEnd w:id="197"/>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198" w:name="_Toc514858710"/>
      <w:bookmarkStart w:id="199" w:name="_Toc513633967"/>
      <w:bookmarkStart w:id="200"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98"/>
      <w:bookmarkEnd w:id="199"/>
      <w:bookmarkEnd w:id="200"/>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9"/>
        <w:rPr>
          <w:color w:val="auto"/>
          <w:highlight w:val="none"/>
        </w:rPr>
      </w:pPr>
    </w:p>
    <w:p w14:paraId="3FAF9880">
      <w:pPr>
        <w:rPr>
          <w:color w:val="auto"/>
          <w:highlight w:val="none"/>
        </w:rPr>
      </w:pPr>
    </w:p>
    <w:p w14:paraId="4E7A3DCA">
      <w:pPr>
        <w:pStyle w:val="29"/>
        <w:rPr>
          <w:color w:val="auto"/>
          <w:highlight w:val="none"/>
        </w:rPr>
      </w:pPr>
    </w:p>
    <w:p w14:paraId="42A15FAD">
      <w:pPr>
        <w:rPr>
          <w:color w:val="auto"/>
          <w:highlight w:val="none"/>
        </w:rPr>
      </w:pPr>
    </w:p>
    <w:p w14:paraId="43E03BE6">
      <w:pPr>
        <w:pStyle w:val="29"/>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3"/>
    <w:bookmarkEnd w:id="184"/>
    <w:bookmarkEnd w:id="185"/>
    <w:bookmarkEnd w:id="186"/>
    <w:bookmarkEnd w:id="187"/>
    <w:bookmarkEnd w:id="188"/>
    <w:bookmarkEnd w:id="189"/>
    <w:bookmarkEnd w:id="190"/>
    <w:p w14:paraId="357BD6A4">
      <w:pPr>
        <w:keepNext/>
        <w:keepLines/>
        <w:spacing w:line="416" w:lineRule="auto"/>
        <w:jc w:val="center"/>
        <w:rPr>
          <w:rFonts w:hint="eastAsia" w:ascii="宋体" w:hAnsi="宋体" w:cs="宋体"/>
          <w:color w:val="auto"/>
          <w:sz w:val="32"/>
          <w:szCs w:val="40"/>
          <w:highlight w:val="none"/>
        </w:rPr>
      </w:pPr>
      <w:bookmarkStart w:id="201" w:name="_Toc28780"/>
      <w:bookmarkStart w:id="202" w:name="_Toc1368"/>
      <w:bookmarkStart w:id="203" w:name="_Toc5459"/>
      <w:bookmarkStart w:id="204" w:name="_Toc11329273"/>
      <w:r>
        <w:rPr>
          <w:rFonts w:hint="eastAsia" w:ascii="宋体" w:hAnsi="宋体" w:cs="宋体"/>
          <w:color w:val="auto"/>
          <w:sz w:val="32"/>
          <w:szCs w:val="40"/>
          <w:highlight w:val="none"/>
        </w:rPr>
        <w:t>目    录</w:t>
      </w:r>
      <w:bookmarkEnd w:id="201"/>
      <w:bookmarkEnd w:id="202"/>
      <w:bookmarkEnd w:id="203"/>
      <w:bookmarkEnd w:id="204"/>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5"/>
        <w:numPr>
          <w:ilvl w:val="0"/>
          <w:numId w:val="4"/>
        </w:numPr>
        <w:spacing w:before="0" w:after="0" w:line="360" w:lineRule="auto"/>
        <w:jc w:val="center"/>
        <w:rPr>
          <w:rFonts w:hint="eastAsia" w:ascii="宋体" w:hAnsi="宋体" w:eastAsia="宋体" w:cs="宋体"/>
          <w:color w:val="auto"/>
          <w:sz w:val="28"/>
          <w:highlight w:val="none"/>
        </w:rPr>
      </w:pPr>
      <w:bookmarkStart w:id="205" w:name="_Toc24387"/>
      <w:bookmarkStart w:id="206" w:name="_Toc513633969"/>
      <w:bookmarkStart w:id="207" w:name="_Toc447827053"/>
      <w:bookmarkStart w:id="208" w:name="_Toc503951048"/>
      <w:r>
        <w:rPr>
          <w:rFonts w:hint="eastAsia" w:ascii="宋体" w:hAnsi="宋体" w:eastAsia="宋体" w:cs="宋体"/>
          <w:color w:val="auto"/>
          <w:sz w:val="28"/>
          <w:highlight w:val="none"/>
        </w:rPr>
        <w:t>竞争性比选响应声明书</w:t>
      </w:r>
      <w:bookmarkEnd w:id="205"/>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09" w:name="_Toc27815"/>
      <w:bookmarkStart w:id="210" w:name="_Toc491883232"/>
    </w:p>
    <w:p w14:paraId="7A660741">
      <w:pPr>
        <w:pStyle w:val="2"/>
        <w:rPr>
          <w:color w:val="auto"/>
          <w:highlight w:val="none"/>
        </w:rPr>
      </w:pPr>
    </w:p>
    <w:p w14:paraId="373147B1">
      <w:pPr>
        <w:pStyle w:val="2"/>
        <w:rPr>
          <w:color w:val="auto"/>
          <w:highlight w:val="none"/>
        </w:rPr>
      </w:pPr>
    </w:p>
    <w:p w14:paraId="0117D19E">
      <w:pPr>
        <w:pStyle w:val="5"/>
        <w:numPr>
          <w:ilvl w:val="0"/>
          <w:numId w:val="4"/>
        </w:numPr>
        <w:spacing w:before="0" w:after="0" w:line="360" w:lineRule="auto"/>
        <w:jc w:val="center"/>
        <w:rPr>
          <w:rFonts w:hint="eastAsia" w:ascii="宋体" w:hAnsi="宋体" w:eastAsia="宋体" w:cs="宋体"/>
          <w:color w:val="auto"/>
          <w:sz w:val="28"/>
          <w:highlight w:val="none"/>
        </w:rPr>
      </w:pPr>
      <w:bookmarkStart w:id="211" w:name="_Toc12064"/>
      <w:bookmarkStart w:id="212" w:name="_Toc15139"/>
      <w:r>
        <w:rPr>
          <w:rFonts w:hint="eastAsia" w:ascii="宋体" w:hAnsi="宋体" w:eastAsia="宋体" w:cs="宋体"/>
          <w:color w:val="auto"/>
          <w:sz w:val="28"/>
          <w:highlight w:val="none"/>
        </w:rPr>
        <w:t>法定代表人身份证明或法定代表人授权委托书</w:t>
      </w:r>
      <w:bookmarkEnd w:id="209"/>
      <w:bookmarkEnd w:id="211"/>
      <w:bookmarkEnd w:id="212"/>
    </w:p>
    <w:bookmarkEnd w:id="210"/>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3" w:name="_Toc14141"/>
      <w:bookmarkStart w:id="214" w:name="_Toc20985"/>
      <w:r>
        <w:rPr>
          <w:rFonts w:hint="eastAsia" w:ascii="宋体" w:hAnsi="宋体" w:eastAsia="宋体" w:cs="宋体"/>
          <w:b/>
          <w:bCs/>
          <w:color w:val="auto"/>
          <w:sz w:val="24"/>
          <w:szCs w:val="24"/>
          <w:highlight w:val="none"/>
        </w:rPr>
        <w:t>（一）法定代表人身份证明</w:t>
      </w:r>
      <w:bookmarkEnd w:id="213"/>
      <w:bookmarkEnd w:id="214"/>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15" w:name="_Toc352691662"/>
      <w:bookmarkStart w:id="216" w:name="_Toc369531698"/>
      <w:bookmarkStart w:id="217" w:name="_Toc27897"/>
      <w:r>
        <w:rPr>
          <w:rFonts w:ascii="宋体" w:hAnsi="宋体"/>
          <w:color w:val="auto"/>
          <w:highlight w:val="none"/>
          <w:u w:val="single"/>
        </w:rPr>
        <w:t xml:space="preserve">        </w:t>
      </w:r>
      <w:r>
        <w:rPr>
          <w:rFonts w:ascii="宋体" w:hAnsi="宋体"/>
          <w:color w:val="auto"/>
          <w:highlight w:val="none"/>
        </w:rPr>
        <w:t>年</w:t>
      </w:r>
      <w:bookmarkEnd w:id="215"/>
      <w:bookmarkEnd w:id="216"/>
      <w:bookmarkEnd w:id="217"/>
      <w:r>
        <w:rPr>
          <w:rFonts w:ascii="宋体" w:hAnsi="宋体"/>
          <w:color w:val="auto"/>
          <w:highlight w:val="none"/>
        </w:rPr>
        <w:t>龄</w:t>
      </w:r>
      <w:bookmarkStart w:id="218" w:name="_Toc152045789"/>
      <w:bookmarkStart w:id="219" w:name="_Toc247514248"/>
      <w:bookmarkStart w:id="220" w:name="_Toc152042578"/>
      <w:bookmarkStart w:id="221" w:name="_Toc369531699"/>
      <w:bookmarkStart w:id="222" w:name="_Toc15573"/>
      <w:bookmarkStart w:id="223" w:name="_Toc384308377"/>
      <w:bookmarkStart w:id="224" w:name="_Toc300835211"/>
      <w:bookmarkStart w:id="225" w:name="_Toc144974858"/>
      <w:bookmarkStart w:id="226" w:name="_Toc361508754"/>
      <w:bookmarkStart w:id="227" w:name="_Toc352691663"/>
      <w:bookmarkStart w:id="228" w:name="_Toc247527829"/>
      <w:r>
        <w:rPr>
          <w:rFonts w:ascii="宋体" w:hAnsi="宋体"/>
          <w:color w:val="auto"/>
          <w:highlight w:val="none"/>
        </w:rPr>
        <w:t>：</w:t>
      </w:r>
      <w:bookmarkEnd w:id="218"/>
      <w:bookmarkEnd w:id="219"/>
      <w:bookmarkEnd w:id="220"/>
      <w:bookmarkEnd w:id="221"/>
      <w:bookmarkEnd w:id="222"/>
      <w:bookmarkEnd w:id="223"/>
      <w:bookmarkEnd w:id="224"/>
      <w:bookmarkEnd w:id="225"/>
      <w:bookmarkEnd w:id="226"/>
      <w:bookmarkEnd w:id="227"/>
      <w:bookmarkEnd w:id="228"/>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29" w:name="_Toc491883233"/>
      <w:bookmarkStart w:id="230" w:name="_Toc58"/>
      <w:bookmarkStart w:id="231" w:name="_Toc3882"/>
      <w:r>
        <w:rPr>
          <w:rFonts w:hint="eastAsia" w:ascii="宋体" w:hAnsi="宋体" w:eastAsia="宋体" w:cs="宋体"/>
          <w:b/>
          <w:bCs/>
          <w:color w:val="auto"/>
          <w:sz w:val="24"/>
          <w:szCs w:val="24"/>
          <w:highlight w:val="none"/>
        </w:rPr>
        <w:t>（二）</w:t>
      </w:r>
      <w:bookmarkEnd w:id="229"/>
      <w:r>
        <w:rPr>
          <w:rFonts w:hint="eastAsia" w:ascii="宋体" w:hAnsi="宋体" w:eastAsia="宋体" w:cs="宋体"/>
          <w:b/>
          <w:bCs/>
          <w:color w:val="auto"/>
          <w:sz w:val="24"/>
          <w:szCs w:val="24"/>
          <w:highlight w:val="none"/>
        </w:rPr>
        <w:t>法定代表人授权委托书</w:t>
      </w:r>
      <w:bookmarkEnd w:id="230"/>
      <w:bookmarkEnd w:id="231"/>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5"/>
        <w:spacing w:before="0" w:after="0" w:line="360" w:lineRule="auto"/>
        <w:jc w:val="center"/>
        <w:rPr>
          <w:rFonts w:hint="eastAsia" w:ascii="宋体" w:hAnsi="宋体" w:eastAsia="宋体" w:cs="宋体"/>
          <w:color w:val="auto"/>
          <w:sz w:val="28"/>
          <w:highlight w:val="none"/>
        </w:rPr>
      </w:pPr>
      <w:bookmarkStart w:id="232" w:name="_Toc11329275"/>
      <w:bookmarkStart w:id="233" w:name="_Toc31983"/>
      <w:bookmarkStart w:id="234" w:name="_Toc11728"/>
      <w:r>
        <w:rPr>
          <w:rFonts w:hint="eastAsia" w:ascii="宋体" w:hAnsi="宋体" w:eastAsia="宋体" w:cs="宋体"/>
          <w:color w:val="auto"/>
          <w:sz w:val="28"/>
          <w:highlight w:val="none"/>
        </w:rPr>
        <w:t>三、</w:t>
      </w:r>
      <w:bookmarkEnd w:id="206"/>
      <w:bookmarkEnd w:id="207"/>
      <w:bookmarkEnd w:id="208"/>
      <w:bookmarkEnd w:id="232"/>
      <w:bookmarkEnd w:id="233"/>
      <w:bookmarkStart w:id="235" w:name="_Toc513633971"/>
      <w:bookmarkStart w:id="236" w:name="_Toc11329278"/>
      <w:bookmarkStart w:id="237" w:name="_Toc503951050"/>
      <w:bookmarkStart w:id="238" w:name="_Toc246997112"/>
      <w:bookmarkStart w:id="239" w:name="_Toc179632823"/>
      <w:bookmarkStart w:id="240" w:name="_Toc144974871"/>
      <w:bookmarkStart w:id="241" w:name="_Toc246996369"/>
      <w:bookmarkStart w:id="242" w:name="_Toc447827058"/>
      <w:bookmarkStart w:id="243" w:name="_Toc152045803"/>
      <w:bookmarkStart w:id="244" w:name="_Toc247085887"/>
      <w:bookmarkStart w:id="245" w:name="_Toc152042592"/>
      <w:r>
        <w:rPr>
          <w:rFonts w:hint="eastAsia" w:ascii="宋体" w:hAnsi="宋体" w:eastAsia="宋体" w:cs="宋体"/>
          <w:color w:val="auto"/>
          <w:sz w:val="28"/>
          <w:highlight w:val="none"/>
        </w:rPr>
        <w:t>报价一览表</w:t>
      </w:r>
      <w:bookmarkEnd w:id="234"/>
    </w:p>
    <w:p w14:paraId="1F1D3E7D">
      <w:pPr>
        <w:ind w:left="765"/>
        <w:jc w:val="center"/>
        <w:rPr>
          <w:rFonts w:hint="eastAsia" w:ascii="宋体" w:hAnsi="宋体" w:cs="宋体"/>
          <w:color w:val="auto"/>
          <w:szCs w:val="21"/>
          <w:highlight w:val="none"/>
        </w:rPr>
      </w:pPr>
    </w:p>
    <w:p w14:paraId="3FF314E1">
      <w:pPr>
        <w:pStyle w:val="39"/>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4727F95B">
      <w:pPr>
        <w:spacing w:line="400" w:lineRule="exact"/>
        <w:ind w:firstLine="422" w:firstLineChars="200"/>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1B510B76">
      <w:pPr>
        <w:pStyle w:val="2"/>
        <w:rPr>
          <w:rFonts w:hint="eastAsia"/>
          <w:color w:val="auto"/>
          <w:highlight w:val="none"/>
        </w:rPr>
      </w:pPr>
    </w:p>
    <w:p w14:paraId="0FD17D4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color w:val="auto"/>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2A251E0">
      <w:pPr>
        <w:jc w:val="right"/>
        <w:rPr>
          <w:rFonts w:hint="eastAsia" w:ascii="宋体" w:hAnsi="宋体"/>
          <w:b/>
          <w:bCs/>
          <w:color w:val="auto"/>
          <w:kern w:val="0"/>
          <w:szCs w:val="21"/>
          <w:highlight w:val="none"/>
          <w:u w:val="single"/>
        </w:rPr>
      </w:pPr>
    </w:p>
    <w:p w14:paraId="482BC87B">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5"/>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46" w:name="_Toc11961"/>
      <w:bookmarkStart w:id="247" w:name="_Toc12910"/>
      <w:bookmarkStart w:id="248" w:name="_Toc17816"/>
      <w:bookmarkStart w:id="249" w:name="_Toc18757"/>
      <w:bookmarkStart w:id="250" w:name="_Toc4544"/>
      <w:r>
        <w:rPr>
          <w:rFonts w:hint="eastAsia" w:ascii="宋体" w:hAnsi="宋体" w:eastAsia="宋体" w:cs="宋体"/>
          <w:color w:val="auto"/>
          <w:sz w:val="28"/>
          <w:highlight w:val="none"/>
        </w:rPr>
        <w:t>四、资格审查资料</w:t>
      </w:r>
      <w:bookmarkEnd w:id="235"/>
      <w:bookmarkEnd w:id="236"/>
      <w:bookmarkEnd w:id="237"/>
      <w:bookmarkEnd w:id="246"/>
      <w:bookmarkEnd w:id="247"/>
      <w:bookmarkEnd w:id="248"/>
      <w:bookmarkEnd w:id="249"/>
      <w:bookmarkEnd w:id="250"/>
    </w:p>
    <w:bookmarkEnd w:id="238"/>
    <w:bookmarkEnd w:id="239"/>
    <w:bookmarkEnd w:id="240"/>
    <w:bookmarkEnd w:id="241"/>
    <w:bookmarkEnd w:id="242"/>
    <w:bookmarkEnd w:id="243"/>
    <w:bookmarkEnd w:id="244"/>
    <w:bookmarkEnd w:id="245"/>
    <w:p w14:paraId="616B92E2">
      <w:pPr>
        <w:jc w:val="center"/>
        <w:rPr>
          <w:rFonts w:hint="eastAsia" w:ascii="宋体" w:hAnsi="宋体" w:cs="宋体"/>
          <w:b/>
          <w:bCs/>
          <w:color w:val="auto"/>
          <w:sz w:val="28"/>
          <w:highlight w:val="none"/>
        </w:rPr>
      </w:pPr>
      <w:bookmarkStart w:id="251" w:name="_Toc503951058"/>
      <w:bookmarkStart w:id="252" w:name="_Toc513633974"/>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3"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3"/>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54" w:name="业绩要求2"/>
            <w:r>
              <w:rPr>
                <w:rFonts w:hint="eastAsia" w:ascii="宋体" w:hAnsi="宋体" w:cs="宋体"/>
                <w:color w:val="auto"/>
                <w:szCs w:val="21"/>
                <w:highlight w:val="none"/>
              </w:rPr>
              <w:t>报价人在2023年1月1日至报价截止日期（以合同签订时间为准）至少承担一项合同金额不低于50万元的软件开发或系统开发服务业绩。</w:t>
            </w:r>
            <w:bookmarkEnd w:id="254"/>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报价人承诺拟派1名项目负责人为本项目服务。</w:t>
            </w:r>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报价人承诺拟派5名及以上软件开发人员为本项目服务。</w:t>
            </w:r>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bidi w:val="0"/>
        <w:rPr>
          <w:rFonts w:hint="eastAsia"/>
          <w:color w:val="auto"/>
          <w:highlight w:val="none"/>
        </w:rPr>
      </w:pPr>
    </w:p>
    <w:p w14:paraId="414633F7">
      <w:pPr>
        <w:rPr>
          <w:rFonts w:hint="eastAsia" w:ascii="宋体" w:hAnsi="宋体" w:cs="宋体"/>
          <w:color w:val="auto"/>
          <w:sz w:val="28"/>
          <w:highlight w:val="none"/>
        </w:rPr>
      </w:pPr>
    </w:p>
    <w:p w14:paraId="3D446120">
      <w:pPr>
        <w:pStyle w:val="19"/>
        <w:rPr>
          <w:rFonts w:hint="eastAsia" w:ascii="宋体" w:hAnsi="宋体" w:cs="宋体"/>
          <w:color w:val="auto"/>
          <w:sz w:val="28"/>
          <w:highlight w:val="none"/>
        </w:rPr>
      </w:pPr>
    </w:p>
    <w:p w14:paraId="034ECCAA">
      <w:pPr>
        <w:pStyle w:val="19"/>
        <w:rPr>
          <w:rFonts w:hint="eastAsia" w:ascii="宋体" w:hAnsi="宋体" w:cs="宋体"/>
          <w:color w:val="auto"/>
          <w:sz w:val="28"/>
          <w:highlight w:val="none"/>
        </w:rPr>
      </w:pPr>
    </w:p>
    <w:p w14:paraId="18DF373C">
      <w:pPr>
        <w:pStyle w:val="19"/>
        <w:rPr>
          <w:rFonts w:hint="eastAsia" w:ascii="宋体" w:hAnsi="宋体" w:cs="宋体"/>
          <w:color w:val="auto"/>
          <w:sz w:val="28"/>
          <w:highlight w:val="none"/>
        </w:rPr>
      </w:pPr>
    </w:p>
    <w:p w14:paraId="21DD2613">
      <w:pPr>
        <w:pStyle w:val="19"/>
        <w:rPr>
          <w:rFonts w:hint="eastAsia" w:ascii="宋体" w:hAnsi="宋体" w:cs="宋体"/>
          <w:color w:val="auto"/>
          <w:sz w:val="28"/>
          <w:highlight w:val="none"/>
        </w:rPr>
      </w:pPr>
    </w:p>
    <w:p w14:paraId="62704E4F">
      <w:pPr>
        <w:pStyle w:val="19"/>
        <w:rPr>
          <w:rFonts w:hint="eastAsia" w:ascii="宋体" w:hAnsi="宋体" w:cs="宋体"/>
          <w:color w:val="auto"/>
          <w:sz w:val="28"/>
          <w:highlight w:val="none"/>
        </w:rPr>
      </w:pPr>
    </w:p>
    <w:p w14:paraId="4F2C5F33">
      <w:pPr>
        <w:pStyle w:val="19"/>
        <w:rPr>
          <w:rFonts w:hint="eastAsia" w:ascii="宋体" w:hAnsi="宋体" w:cs="宋体"/>
          <w:color w:val="auto"/>
          <w:sz w:val="28"/>
          <w:highlight w:val="none"/>
        </w:rPr>
      </w:pPr>
    </w:p>
    <w:p w14:paraId="3123AD0E">
      <w:pPr>
        <w:pStyle w:val="19"/>
        <w:rPr>
          <w:rFonts w:hint="eastAsia" w:ascii="宋体" w:hAnsi="宋体" w:cs="宋体"/>
          <w:color w:val="auto"/>
          <w:sz w:val="28"/>
          <w:highlight w:val="none"/>
        </w:rPr>
      </w:pPr>
    </w:p>
    <w:p w14:paraId="14A9698C">
      <w:pPr>
        <w:pStyle w:val="19"/>
        <w:rPr>
          <w:rFonts w:hint="eastAsia" w:ascii="宋体" w:hAnsi="宋体" w:cs="宋体"/>
          <w:color w:val="auto"/>
          <w:sz w:val="28"/>
          <w:highlight w:val="none"/>
        </w:rPr>
      </w:pPr>
    </w:p>
    <w:p w14:paraId="496D02F5">
      <w:pPr>
        <w:pStyle w:val="19"/>
        <w:rPr>
          <w:rFonts w:hint="eastAsia" w:ascii="宋体" w:hAnsi="宋体" w:cs="宋体"/>
          <w:color w:val="auto"/>
          <w:sz w:val="28"/>
          <w:highlight w:val="none"/>
        </w:rPr>
      </w:pPr>
    </w:p>
    <w:p w14:paraId="7631D70D">
      <w:pPr>
        <w:pStyle w:val="19"/>
        <w:rPr>
          <w:rFonts w:hint="eastAsia" w:ascii="宋体" w:hAnsi="宋体" w:cs="宋体"/>
          <w:color w:val="auto"/>
          <w:sz w:val="28"/>
          <w:highlight w:val="none"/>
        </w:rPr>
      </w:pPr>
    </w:p>
    <w:p w14:paraId="115A2446">
      <w:pPr>
        <w:rPr>
          <w:rFonts w:hint="eastAsia" w:ascii="宋体" w:hAnsi="宋体" w:eastAsia="宋体" w:cs="宋体"/>
          <w:color w:val="auto"/>
          <w:sz w:val="28"/>
          <w:highlight w:val="none"/>
        </w:rPr>
      </w:pPr>
      <w:bookmarkStart w:id="255" w:name="_Toc26280"/>
      <w:bookmarkStart w:id="256" w:name="_Toc7326"/>
      <w:r>
        <w:rPr>
          <w:rFonts w:hint="eastAsia" w:ascii="宋体" w:hAnsi="宋体" w:eastAsia="宋体" w:cs="宋体"/>
          <w:color w:val="auto"/>
          <w:sz w:val="28"/>
          <w:highlight w:val="none"/>
        </w:rPr>
        <w:br w:type="page"/>
      </w:r>
    </w:p>
    <w:p w14:paraId="32CFA0A6">
      <w:pPr>
        <w:pStyle w:val="5"/>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五、报价人承诺</w:t>
      </w:r>
      <w:bookmarkEnd w:id="255"/>
      <w:bookmarkEnd w:id="256"/>
    </w:p>
    <w:p w14:paraId="6252CEFA">
      <w:pPr>
        <w:pStyle w:val="19"/>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57" w:name="_Toc22594"/>
      <w:bookmarkStart w:id="258" w:name="_Toc7792"/>
      <w:r>
        <w:rPr>
          <w:rFonts w:hint="eastAsia" w:ascii="宋体" w:hAnsi="宋体" w:cs="宋体"/>
          <w:b/>
          <w:bCs/>
          <w:color w:val="auto"/>
          <w:kern w:val="0"/>
          <w:sz w:val="28"/>
          <w:szCs w:val="32"/>
          <w:highlight w:val="none"/>
        </w:rPr>
        <w:t>六、报价人其他资料</w:t>
      </w:r>
      <w:bookmarkEnd w:id="257"/>
      <w:bookmarkEnd w:id="258"/>
    </w:p>
    <w:p w14:paraId="17DAB8DB">
      <w:pPr>
        <w:pStyle w:val="19"/>
        <w:rPr>
          <w:rFonts w:hint="eastAsia" w:ascii="宋体" w:hAnsi="宋体"/>
          <w:color w:val="auto"/>
          <w:sz w:val="24"/>
          <w:highlight w:val="none"/>
        </w:rPr>
      </w:pPr>
    </w:p>
    <w:p w14:paraId="3CF25E02">
      <w:pPr>
        <w:pStyle w:val="6"/>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7"/>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9"/>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5"/>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59" w:name="OLE_LINK4"/>
      <w:r>
        <w:rPr>
          <w:rFonts w:hint="eastAsia" w:ascii="宋体" w:hAnsi="宋体" w:cs="宋体"/>
          <w:b/>
          <w:bCs/>
          <w:color w:val="auto"/>
          <w:kern w:val="0"/>
          <w:sz w:val="28"/>
          <w:szCs w:val="32"/>
          <w:highlight w:val="none"/>
        </w:rPr>
        <w:t>（三）商务部分</w:t>
      </w:r>
    </w:p>
    <w:bookmarkEnd w:id="259"/>
    <w:p w14:paraId="50C55C88">
      <w:pPr>
        <w:pStyle w:val="5"/>
        <w:spacing w:before="0" w:after="0" w:line="360" w:lineRule="auto"/>
        <w:jc w:val="center"/>
        <w:rPr>
          <w:rFonts w:hint="eastAsia" w:ascii="宋体" w:hAnsi="宋体" w:eastAsia="宋体" w:cs="宋体"/>
          <w:color w:val="auto"/>
          <w:sz w:val="21"/>
          <w:szCs w:val="21"/>
          <w:highlight w:val="none"/>
        </w:rPr>
      </w:pPr>
    </w:p>
    <w:p w14:paraId="3E7B9DF4">
      <w:pPr>
        <w:pStyle w:val="19"/>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9"/>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9"/>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0" w:name="_Toc14007"/>
      <w:bookmarkStart w:id="261" w:name="_Toc32475"/>
      <w:r>
        <w:rPr>
          <w:rFonts w:hint="eastAsia" w:ascii="宋体" w:hAnsi="宋体" w:cs="宋体"/>
          <w:color w:val="auto"/>
          <w:kern w:val="2"/>
          <w:sz w:val="21"/>
          <w:szCs w:val="21"/>
          <w:highlight w:val="none"/>
          <w:lang w:bidi="ar"/>
        </w:rPr>
        <w:t>报价合理性说明</w:t>
      </w:r>
      <w:bookmarkEnd w:id="260"/>
      <w:bookmarkEnd w:id="261"/>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9"/>
        <w:rPr>
          <w:color w:val="auto"/>
          <w:highlight w:val="none"/>
        </w:rPr>
      </w:pPr>
    </w:p>
    <w:p w14:paraId="07D3CC1E">
      <w:pPr>
        <w:rPr>
          <w:rFonts w:hint="eastAsia" w:ascii="宋体" w:hAnsi="宋体" w:cs="宋体"/>
          <w:color w:val="auto"/>
          <w:sz w:val="28"/>
          <w:highlight w:val="none"/>
        </w:rPr>
      </w:pPr>
    </w:p>
    <w:bookmarkEnd w:id="251"/>
    <w:bookmarkEnd w:id="252"/>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A885EC4-4E0B-4E02-A28C-18EDC91FF53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8AA2495A-F3F6-4676-B7C1-324992320D5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D1E6153B-7BD4-4FF9-87EB-B74959262133}"/>
  </w:font>
  <w:font w:name="仿宋">
    <w:panose1 w:val="02010609060101010101"/>
    <w:charset w:val="86"/>
    <w:family w:val="modern"/>
    <w:pitch w:val="default"/>
    <w:sig w:usb0="800002BF" w:usb1="38CF7CFA" w:usb2="00000016" w:usb3="00000000" w:csb0="00040001" w:csb1="00000000"/>
    <w:embedRegular r:id="rId4" w:fontKey="{6A4E53B2-5863-43E4-9175-D1A74C82F5B0}"/>
  </w:font>
  <w:font w:name="方正小标宋_GBK">
    <w:panose1 w:val="03000509000000000000"/>
    <w:charset w:val="86"/>
    <w:family w:val="script"/>
    <w:pitch w:val="default"/>
    <w:sig w:usb0="00000001" w:usb1="080E0000" w:usb2="00000000" w:usb3="00000000" w:csb0="00040000" w:csb1="00000000"/>
    <w:embedRegular r:id="rId5" w:fontKey="{5B34984E-FBF8-4228-9B77-A816261A6C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7"/>
      <w:jc w:val="center"/>
    </w:pPr>
  </w:p>
  <w:p w14:paraId="4524E8A7">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7"/>
      <w:framePr w:wrap="around" w:vAnchor="text" w:hAnchor="margin" w:xAlign="center" w:y="1"/>
      <w:rPr>
        <w:rStyle w:val="47"/>
      </w:rPr>
    </w:pPr>
    <w:r>
      <w:fldChar w:fldCharType="begin"/>
    </w:r>
    <w:r>
      <w:rPr>
        <w:rStyle w:val="47"/>
      </w:rPr>
      <w:instrText xml:space="preserve">PAGE  </w:instrText>
    </w:r>
    <w:r>
      <w:fldChar w:fldCharType="end"/>
    </w:r>
  </w:p>
  <w:p w14:paraId="2BC15F74">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7"/>
      <w:jc w:val="center"/>
    </w:pPr>
    <w:r>
      <w:fldChar w:fldCharType="begin"/>
    </w:r>
    <w:r>
      <w:instrText xml:space="preserve">PAGE   \* MERGEFORMAT</w:instrText>
    </w:r>
    <w:r>
      <w:fldChar w:fldCharType="separate"/>
    </w:r>
    <w:r>
      <w:rPr>
        <w:lang w:val="zh-CN"/>
      </w:rPr>
      <w:t>79</w:t>
    </w:r>
    <w:r>
      <w:fldChar w:fldCharType="end"/>
    </w:r>
  </w:p>
  <w:p w14:paraId="215F4260">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7"/>
      <w:jc w:val="center"/>
    </w:pPr>
    <w:r>
      <w:fldChar w:fldCharType="begin"/>
    </w:r>
    <w:r>
      <w:instrText xml:space="preserve">PAGE   \* MERGEFORMAT</w:instrText>
    </w:r>
    <w:r>
      <w:fldChar w:fldCharType="separate"/>
    </w:r>
    <w:r>
      <w:rPr>
        <w:lang w:val="zh-CN"/>
      </w:rPr>
      <w:t>35</w:t>
    </w:r>
    <w:r>
      <w:fldChar w:fldCharType="end"/>
    </w:r>
  </w:p>
  <w:p w14:paraId="27493925">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pPr>
        <w:ind w:left="1050"/>
      </w:pPr>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97502B"/>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1E2E86"/>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20658D"/>
    <w:rsid w:val="0A3F34B7"/>
    <w:rsid w:val="0A4B11BE"/>
    <w:rsid w:val="0A523E3A"/>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A46AC8"/>
    <w:rsid w:val="0EB254B2"/>
    <w:rsid w:val="0EFB3F5D"/>
    <w:rsid w:val="0F041CC7"/>
    <w:rsid w:val="0F042317"/>
    <w:rsid w:val="0F1209F8"/>
    <w:rsid w:val="0F3416B8"/>
    <w:rsid w:val="0F4C19DA"/>
    <w:rsid w:val="0F4C7D05"/>
    <w:rsid w:val="0F4F31AF"/>
    <w:rsid w:val="0F5F17BD"/>
    <w:rsid w:val="0F7668F1"/>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0D1D87"/>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D1F"/>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93342E"/>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2D77A4"/>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07E80"/>
    <w:rsid w:val="316B2857"/>
    <w:rsid w:val="31832D29"/>
    <w:rsid w:val="319D5339"/>
    <w:rsid w:val="319F2F47"/>
    <w:rsid w:val="31A974F8"/>
    <w:rsid w:val="31D20CDE"/>
    <w:rsid w:val="31F37E23"/>
    <w:rsid w:val="31FE689A"/>
    <w:rsid w:val="32223DC6"/>
    <w:rsid w:val="325A02A1"/>
    <w:rsid w:val="32827D75"/>
    <w:rsid w:val="329032EF"/>
    <w:rsid w:val="329970EF"/>
    <w:rsid w:val="32B35AAA"/>
    <w:rsid w:val="32EB1476"/>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400453"/>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0A1173"/>
    <w:rsid w:val="3B2A44B8"/>
    <w:rsid w:val="3B2B6476"/>
    <w:rsid w:val="3BBC038E"/>
    <w:rsid w:val="3BBF5C33"/>
    <w:rsid w:val="3BFE3F02"/>
    <w:rsid w:val="3C2972FD"/>
    <w:rsid w:val="3C5B4444"/>
    <w:rsid w:val="3C852047"/>
    <w:rsid w:val="3CA13116"/>
    <w:rsid w:val="3CA925AE"/>
    <w:rsid w:val="3CEA4608"/>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A97C3C"/>
    <w:rsid w:val="48BC156D"/>
    <w:rsid w:val="48E65956"/>
    <w:rsid w:val="48F765BE"/>
    <w:rsid w:val="490445F2"/>
    <w:rsid w:val="490935A0"/>
    <w:rsid w:val="49320F23"/>
    <w:rsid w:val="49366CFF"/>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DF3E76"/>
    <w:rsid w:val="4DE50C0B"/>
    <w:rsid w:val="4E11105D"/>
    <w:rsid w:val="4E16225A"/>
    <w:rsid w:val="4E253AB8"/>
    <w:rsid w:val="4E257ADB"/>
    <w:rsid w:val="4E472C92"/>
    <w:rsid w:val="4E824D97"/>
    <w:rsid w:val="4E9D5C2D"/>
    <w:rsid w:val="4EBA57C1"/>
    <w:rsid w:val="4EEA14D6"/>
    <w:rsid w:val="4F047E0A"/>
    <w:rsid w:val="4F477F24"/>
    <w:rsid w:val="4F681C8F"/>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A1F34"/>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2624F8"/>
    <w:rsid w:val="604130CF"/>
    <w:rsid w:val="60663C94"/>
    <w:rsid w:val="60794FD4"/>
    <w:rsid w:val="60814FEF"/>
    <w:rsid w:val="60AE4E89"/>
    <w:rsid w:val="60D23EEC"/>
    <w:rsid w:val="60D32F5A"/>
    <w:rsid w:val="610E2B4C"/>
    <w:rsid w:val="61561E7C"/>
    <w:rsid w:val="619945D7"/>
    <w:rsid w:val="61C24BFD"/>
    <w:rsid w:val="61DE43D4"/>
    <w:rsid w:val="61E06967"/>
    <w:rsid w:val="61ED083B"/>
    <w:rsid w:val="61FE26C5"/>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060AF4"/>
    <w:rsid w:val="6C303DC2"/>
    <w:rsid w:val="6C5E02FC"/>
    <w:rsid w:val="6C721812"/>
    <w:rsid w:val="6C8B0F52"/>
    <w:rsid w:val="6CBB7D53"/>
    <w:rsid w:val="6CDD0DD0"/>
    <w:rsid w:val="6CFA7DB1"/>
    <w:rsid w:val="6D0127E4"/>
    <w:rsid w:val="6D0333AE"/>
    <w:rsid w:val="6D135E16"/>
    <w:rsid w:val="6D1C168A"/>
    <w:rsid w:val="6D282CEC"/>
    <w:rsid w:val="6D347A31"/>
    <w:rsid w:val="6D3668DD"/>
    <w:rsid w:val="6D471CAB"/>
    <w:rsid w:val="6DAC0977"/>
    <w:rsid w:val="6DAF0D17"/>
    <w:rsid w:val="6DB941BD"/>
    <w:rsid w:val="6DC60F63"/>
    <w:rsid w:val="6DCD0F66"/>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76182F"/>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B67C58"/>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DD4B9E"/>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DB538D3"/>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6">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7">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8">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9">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10">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1">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rPr>
      <w:sz w:val="21"/>
    </w:rPr>
  </w:style>
  <w:style w:type="paragraph" w:styleId="3">
    <w:name w:val="Body Text Indent"/>
    <w:basedOn w:val="1"/>
    <w:link w:val="75"/>
    <w:qFormat/>
    <w:uiPriority w:val="0"/>
    <w:pPr>
      <w:spacing w:after="120"/>
      <w:ind w:left="420" w:leftChars="200"/>
    </w:pPr>
    <w:rPr>
      <w:kern w:val="0"/>
      <w:sz w:val="20"/>
    </w:rPr>
  </w:style>
  <w:style w:type="paragraph" w:styleId="12">
    <w:name w:val="toc 7"/>
    <w:basedOn w:val="1"/>
    <w:next w:val="1"/>
    <w:qFormat/>
    <w:uiPriority w:val="39"/>
    <w:pPr>
      <w:ind w:left="1260"/>
      <w:jc w:val="left"/>
    </w:pPr>
    <w:rPr>
      <w:rFonts w:ascii="Calibri" w:hAnsi="Calibri"/>
      <w:sz w:val="18"/>
      <w:szCs w:val="18"/>
    </w:rPr>
  </w:style>
  <w:style w:type="paragraph" w:styleId="13">
    <w:name w:val="table of authorities"/>
    <w:basedOn w:val="1"/>
    <w:next w:val="1"/>
    <w:qFormat/>
    <w:uiPriority w:val="99"/>
    <w:pPr>
      <w:ind w:left="420" w:leftChars="200"/>
    </w:pPr>
  </w:style>
  <w:style w:type="paragraph" w:styleId="14">
    <w:name w:val="Normal Indent"/>
    <w:basedOn w:val="15"/>
    <w:link w:val="69"/>
    <w:qFormat/>
    <w:uiPriority w:val="0"/>
    <w:pPr>
      <w:ind w:firstLine="420" w:firstLineChars="200"/>
    </w:pPr>
  </w:style>
  <w:style w:type="paragraph" w:styleId="15">
    <w:name w:val="Balloon Text"/>
    <w:basedOn w:val="1"/>
    <w:link w:val="80"/>
    <w:qFormat/>
    <w:uiPriority w:val="0"/>
    <w:rPr>
      <w:kern w:val="0"/>
      <w:sz w:val="18"/>
      <w:szCs w:val="18"/>
    </w:rPr>
  </w:style>
  <w:style w:type="paragraph" w:styleId="16">
    <w:name w:val="Document Map"/>
    <w:basedOn w:val="1"/>
    <w:link w:val="76"/>
    <w:qFormat/>
    <w:uiPriority w:val="0"/>
    <w:pPr>
      <w:shd w:val="clear" w:color="auto" w:fill="000080"/>
    </w:pPr>
    <w:rPr>
      <w:kern w:val="0"/>
      <w:sz w:val="20"/>
    </w:rPr>
  </w:style>
  <w:style w:type="paragraph" w:styleId="17">
    <w:name w:val="annotation text"/>
    <w:basedOn w:val="1"/>
    <w:link w:val="58"/>
    <w:unhideWhenUsed/>
    <w:qFormat/>
    <w:uiPriority w:val="99"/>
    <w:pPr>
      <w:jc w:val="left"/>
    </w:pPr>
    <w:rPr>
      <w:kern w:val="0"/>
      <w:sz w:val="20"/>
    </w:rPr>
  </w:style>
  <w:style w:type="paragraph" w:styleId="18">
    <w:name w:val="Body Text 3"/>
    <w:basedOn w:val="1"/>
    <w:link w:val="62"/>
    <w:qFormat/>
    <w:uiPriority w:val="0"/>
    <w:rPr>
      <w:rFonts w:ascii="宋体"/>
      <w:kern w:val="0"/>
      <w:sz w:val="24"/>
      <w:szCs w:val="20"/>
    </w:rPr>
  </w:style>
  <w:style w:type="paragraph" w:styleId="19">
    <w:name w:val="Body Text"/>
    <w:basedOn w:val="1"/>
    <w:next w:val="1"/>
    <w:link w:val="65"/>
    <w:qFormat/>
    <w:uiPriority w:val="0"/>
    <w:pPr>
      <w:spacing w:after="12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8"/>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2"/>
    <w:qFormat/>
    <w:uiPriority w:val="0"/>
    <w:rPr>
      <w:kern w:val="0"/>
      <w:sz w:val="24"/>
      <w:szCs w:val="20"/>
    </w:rPr>
  </w:style>
  <w:style w:type="paragraph" w:styleId="26">
    <w:name w:val="Body Text Indent 2"/>
    <w:basedOn w:val="1"/>
    <w:qFormat/>
    <w:uiPriority w:val="0"/>
    <w:pPr>
      <w:spacing w:after="120" w:line="480" w:lineRule="auto"/>
      <w:ind w:left="420" w:leftChars="200"/>
    </w:pPr>
  </w:style>
  <w:style w:type="paragraph" w:styleId="27">
    <w:name w:val="footer"/>
    <w:basedOn w:val="1"/>
    <w:link w:val="94"/>
    <w:qFormat/>
    <w:uiPriority w:val="99"/>
    <w:pPr>
      <w:tabs>
        <w:tab w:val="center" w:pos="4153"/>
        <w:tab w:val="right" w:pos="8306"/>
      </w:tabs>
      <w:snapToGrid w:val="0"/>
      <w:jc w:val="left"/>
    </w:pPr>
    <w:rPr>
      <w:kern w:val="0"/>
      <w:sz w:val="18"/>
      <w:szCs w:val="18"/>
    </w:rPr>
  </w:style>
  <w:style w:type="paragraph" w:styleId="28">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6"/>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6"/>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7"/>
    <w:next w:val="17"/>
    <w:link w:val="68"/>
    <w:qFormat/>
    <w:uiPriority w:val="0"/>
    <w:rPr>
      <w:b/>
      <w:bCs/>
    </w:rPr>
  </w:style>
  <w:style w:type="paragraph" w:styleId="42">
    <w:name w:val="Body Text First Indent"/>
    <w:basedOn w:val="19"/>
    <w:qFormat/>
    <w:uiPriority w:val="0"/>
    <w:pPr>
      <w:adjustRightInd w:val="0"/>
      <w:spacing w:line="275" w:lineRule="atLeast"/>
      <w:ind w:firstLine="420"/>
      <w:textAlignment w:val="baseline"/>
    </w:pPr>
    <w:rPr>
      <w:rFonts w:ascii="宋体" w:eastAsia="楷体_GB2312"/>
      <w:sz w:val="24"/>
      <w:szCs w:val="20"/>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6"/>
    <w:qFormat/>
    <w:uiPriority w:val="0"/>
    <w:rPr>
      <w:rFonts w:ascii="Times New Roman" w:hAnsi="Times New Roman" w:eastAsia="宋体" w:cs="Times New Roman"/>
      <w:b/>
      <w:bCs/>
      <w:sz w:val="32"/>
      <w:szCs w:val="32"/>
    </w:rPr>
  </w:style>
  <w:style w:type="character" w:customStyle="1" w:styleId="58">
    <w:name w:val="批注文字 字符"/>
    <w:link w:val="17"/>
    <w:qFormat/>
    <w:uiPriority w:val="99"/>
    <w:rPr>
      <w:rFonts w:ascii="Times New Roman" w:hAnsi="Times New Roman" w:eastAsia="宋体" w:cs="Times New Roman"/>
      <w:szCs w:val="24"/>
    </w:rPr>
  </w:style>
  <w:style w:type="character" w:customStyle="1" w:styleId="59">
    <w:name w:val="标题 6 字符"/>
    <w:link w:val="8"/>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8"/>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9"/>
    <w:qFormat/>
    <w:uiPriority w:val="0"/>
    <w:rPr>
      <w:rFonts w:eastAsia="宋体"/>
      <w:szCs w:val="24"/>
    </w:rPr>
  </w:style>
  <w:style w:type="character" w:customStyle="1" w:styleId="66">
    <w:name w:val="脚注文本 字符"/>
    <w:link w:val="31"/>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1"/>
    <w:qFormat/>
    <w:uiPriority w:val="0"/>
    <w:rPr>
      <w:rFonts w:ascii="Times New Roman" w:hAnsi="Times New Roman" w:eastAsia="宋体" w:cs="Times New Roman"/>
      <w:b/>
      <w:bCs/>
      <w:szCs w:val="24"/>
    </w:rPr>
  </w:style>
  <w:style w:type="character" w:customStyle="1" w:styleId="69">
    <w:name w:val="正文缩进 字符"/>
    <w:link w:val="14"/>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8"/>
    <w:qFormat/>
    <w:uiPriority w:val="0"/>
    <w:rPr>
      <w:rFonts w:ascii="Times New Roman" w:hAnsi="Times New Roman" w:eastAsia="宋体" w:cs="Times New Roman"/>
      <w:sz w:val="18"/>
      <w:szCs w:val="18"/>
    </w:rPr>
  </w:style>
  <w:style w:type="character" w:customStyle="1" w:styleId="73">
    <w:name w:val="标题 9 字符"/>
    <w:link w:val="11"/>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3"/>
    <w:qFormat/>
    <w:uiPriority w:val="0"/>
    <w:rPr>
      <w:szCs w:val="24"/>
    </w:rPr>
  </w:style>
  <w:style w:type="character" w:customStyle="1" w:styleId="76">
    <w:name w:val="文档结构图 字符"/>
    <w:link w:val="16"/>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5"/>
    <w:qFormat/>
    <w:uiPriority w:val="0"/>
    <w:rPr>
      <w:rFonts w:ascii="Arial" w:hAnsi="Arial" w:eastAsia="黑体" w:cs="Times New Roman"/>
      <w:b/>
      <w:bCs/>
      <w:sz w:val="32"/>
      <w:szCs w:val="32"/>
    </w:rPr>
  </w:style>
  <w:style w:type="character" w:customStyle="1" w:styleId="79">
    <w:name w:val="标题 字符"/>
    <w:link w:val="40"/>
    <w:qFormat/>
    <w:uiPriority w:val="0"/>
    <w:rPr>
      <w:rFonts w:ascii="Arial" w:hAnsi="Arial"/>
      <w:b/>
      <w:sz w:val="32"/>
    </w:rPr>
  </w:style>
  <w:style w:type="character" w:customStyle="1" w:styleId="80">
    <w:name w:val="批注框文本 字符"/>
    <w:link w:val="15"/>
    <w:qFormat/>
    <w:uiPriority w:val="0"/>
    <w:rPr>
      <w:rFonts w:ascii="Times New Roman" w:hAnsi="Times New Roman" w:eastAsia="宋体" w:cs="Times New Roman"/>
      <w:sz w:val="18"/>
      <w:szCs w:val="18"/>
    </w:rPr>
  </w:style>
  <w:style w:type="character" w:customStyle="1" w:styleId="81">
    <w:name w:val="标题 8 字符"/>
    <w:link w:val="10"/>
    <w:qFormat/>
    <w:uiPriority w:val="0"/>
    <w:rPr>
      <w:rFonts w:ascii="Arial" w:hAnsi="Arial" w:eastAsia="黑体" w:cs="Times New Roman"/>
      <w:kern w:val="0"/>
      <w:sz w:val="24"/>
      <w:szCs w:val="24"/>
    </w:rPr>
  </w:style>
  <w:style w:type="character" w:customStyle="1" w:styleId="82">
    <w:name w:val="日期 字符"/>
    <w:link w:val="25"/>
    <w:qFormat/>
    <w:uiPriority w:val="0"/>
    <w:rPr>
      <w:rFonts w:ascii="Times New Roman" w:hAnsi="Times New Roman" w:eastAsia="宋体" w:cs="Times New Roman"/>
      <w:sz w:val="24"/>
      <w:szCs w:val="20"/>
    </w:rPr>
  </w:style>
  <w:style w:type="character" w:customStyle="1" w:styleId="83">
    <w:name w:val="标题 1 字符"/>
    <w:link w:val="4"/>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3"/>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7"/>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7"/>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7"/>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3"/>
    <w:qFormat/>
    <w:uiPriority w:val="99"/>
    <w:rPr>
      <w:rFonts w:ascii="Courier New" w:hAnsi="Courier New"/>
    </w:rPr>
  </w:style>
  <w:style w:type="character" w:customStyle="1" w:styleId="99">
    <w:name w:val="标题 7 字符"/>
    <w:link w:val="9"/>
    <w:qFormat/>
    <w:uiPriority w:val="0"/>
    <w:rPr>
      <w:rFonts w:ascii="Times New Roman" w:hAnsi="Times New Roman" w:eastAsia="宋体" w:cs="Times New Roman"/>
      <w:b/>
      <w:bCs/>
      <w:kern w:val="0"/>
      <w:sz w:val="24"/>
      <w:szCs w:val="24"/>
    </w:rPr>
  </w:style>
  <w:style w:type="paragraph" w:customStyle="1" w:styleId="100">
    <w:name w:val="样式4"/>
    <w:basedOn w:val="6"/>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6"/>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5"/>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6"/>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6"/>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4"/>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48</Pages>
  <Words>7808</Words>
  <Characters>8322</Characters>
  <Lines>139</Lines>
  <Paragraphs>39</Paragraphs>
  <TotalTime>11</TotalTime>
  <ScaleCrop>false</ScaleCrop>
  <LinksUpToDate>false</LinksUpToDate>
  <CharactersWithSpaces>8485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2026-07-22T03:09:22Z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